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6B577" w14:textId="4CBC2C7B" w:rsidR="00405E0D" w:rsidRPr="000F0716" w:rsidRDefault="00405E0D" w:rsidP="00405E0D">
      <w:pPr>
        <w:pStyle w:val="CRCoverPage"/>
        <w:tabs>
          <w:tab w:val="right" w:pos="9639"/>
        </w:tabs>
        <w:spacing w:before="120"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w:t>
      </w:r>
      <w:r w:rsidRPr="00E94B97">
        <w:rPr>
          <w:rFonts w:cs="SimHei"/>
          <w:b/>
          <w:sz w:val="24"/>
          <w:szCs w:val="24"/>
        </w:rPr>
        <w:t>#</w:t>
      </w:r>
      <w:r>
        <w:rPr>
          <w:rFonts w:cs="SimHei"/>
          <w:b/>
          <w:sz w:val="24"/>
          <w:szCs w:val="24"/>
        </w:rPr>
        <w:t>120</w:t>
      </w:r>
      <w:r>
        <w:rPr>
          <w:b/>
          <w:noProof/>
          <w:sz w:val="24"/>
        </w:rPr>
        <w:t xml:space="preserve">          </w:t>
      </w:r>
      <w:r>
        <w:rPr>
          <w:b/>
          <w:noProof/>
          <w:sz w:val="24"/>
        </w:rPr>
        <w:tab/>
        <w:t xml:space="preserve">          </w:t>
      </w:r>
      <w:r w:rsidR="002B5B4B" w:rsidRPr="002B5B4B">
        <w:rPr>
          <w:rFonts w:eastAsia="Malgun Gothic"/>
          <w:b/>
          <w:bCs/>
          <w:sz w:val="24"/>
          <w:szCs w:val="24"/>
          <w:lang w:eastAsia="zh-CN"/>
        </w:rPr>
        <w:t>R2-2211608</w:t>
      </w:r>
    </w:p>
    <w:p w14:paraId="6A4C8113" w14:textId="77777777" w:rsidR="00405E0D" w:rsidRPr="008A4B03" w:rsidRDefault="00405E0D" w:rsidP="00405E0D">
      <w:pPr>
        <w:pStyle w:val="CRCoverPage"/>
        <w:tabs>
          <w:tab w:val="right" w:pos="9639"/>
        </w:tabs>
        <w:spacing w:before="120" w:after="0"/>
        <w:rPr>
          <w:b/>
          <w:noProof/>
          <w:sz w:val="24"/>
        </w:rPr>
      </w:pPr>
      <w:r w:rsidRPr="0035550E">
        <w:rPr>
          <w:rFonts w:cs="Arial"/>
          <w:b/>
          <w:sz w:val="24"/>
          <w:lang w:val="de-DE" w:eastAsia="zh-CN"/>
        </w:rPr>
        <w:t>Toulouse, France</w:t>
      </w:r>
      <w:r>
        <w:rPr>
          <w:rFonts w:cs="Arial"/>
          <w:b/>
          <w:sz w:val="24"/>
          <w:lang w:val="de-DE" w:eastAsia="zh-CN"/>
        </w:rPr>
        <w:t>, 14</w:t>
      </w:r>
      <w:r>
        <w:rPr>
          <w:b/>
          <w:noProof/>
          <w:sz w:val="24"/>
          <w:vertAlign w:val="superscript"/>
        </w:rPr>
        <w:t>th</w:t>
      </w:r>
      <w:r>
        <w:rPr>
          <w:b/>
          <w:noProof/>
          <w:sz w:val="24"/>
        </w:rPr>
        <w:t xml:space="preserve"> Nov – 18</w:t>
      </w:r>
      <w:r>
        <w:rPr>
          <w:b/>
          <w:noProof/>
          <w:sz w:val="24"/>
          <w:vertAlign w:val="superscript"/>
        </w:rPr>
        <w:t>th</w:t>
      </w:r>
      <w:r>
        <w:rPr>
          <w:b/>
          <w:noProof/>
          <w:sz w:val="24"/>
        </w:rPr>
        <w:t xml:space="preserve"> Nov</w:t>
      </w:r>
      <w:r>
        <w:rPr>
          <w:rFonts w:cs="Arial"/>
          <w:b/>
          <w:sz w:val="24"/>
          <w:lang w:val="de-DE" w:eastAsia="zh-CN"/>
        </w:rPr>
        <w:t>,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0B44B068"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E8242F" w:rsidRPr="00E8242F">
        <w:rPr>
          <w:rFonts w:ascii="Arial" w:eastAsia="Arial Unicode MS" w:hAnsi="Arial" w:cs="Arial"/>
          <w:b/>
          <w:bCs/>
          <w:kern w:val="0"/>
          <w:sz w:val="24"/>
          <w:szCs w:val="20"/>
          <w:lang w:val="en-GB"/>
        </w:rPr>
        <w:t>Discussion on FDM enhancement</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7358C0BC"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8A6979">
      <w:pPr>
        <w:pStyle w:val="Heading1"/>
        <w:numPr>
          <w:ilvl w:val="0"/>
          <w:numId w:val="10"/>
        </w:numPr>
      </w:pPr>
      <w:r>
        <w:rPr>
          <w:lang w:eastAsia="zh-CN"/>
        </w:rPr>
        <w:t>Introduction</w:t>
      </w:r>
    </w:p>
    <w:p w14:paraId="5ED6C406" w14:textId="2F4349FA" w:rsidR="00405E0D" w:rsidRDefault="00405E0D" w:rsidP="00405E0D">
      <w:r>
        <w:t>In RAN 2 #119 e meeting we had initial discussions on the IDC topic. During the</w:t>
      </w:r>
      <w:r w:rsidR="005D6EC8">
        <w:t xml:space="preserve"> online discussion and</w:t>
      </w:r>
      <w:r>
        <w:t xml:space="preserve"> </w:t>
      </w:r>
      <w:r w:rsidR="005D6EC8" w:rsidRPr="005D6EC8">
        <w:t xml:space="preserve">[AT119-e] [615] [IDC] FDM solution enhancements </w:t>
      </w:r>
      <w:r w:rsidR="005D6EC8">
        <w:t xml:space="preserve">email discussion, </w:t>
      </w:r>
      <w:r>
        <w:t xml:space="preserve">we had identified </w:t>
      </w:r>
      <w:r w:rsidR="005D6EC8">
        <w:t>6</w:t>
      </w:r>
      <w:r>
        <w:t xml:space="preserve"> candidate </w:t>
      </w:r>
      <w:r w:rsidR="005D6EC8">
        <w:t>F</w:t>
      </w:r>
      <w:r>
        <w:t xml:space="preserve">DM solution </w:t>
      </w:r>
      <w:r w:rsidR="00F408B7">
        <w:t xml:space="preserve">with finer granularity </w:t>
      </w:r>
      <w:r>
        <w:t xml:space="preserve">to be further discussed in a </w:t>
      </w:r>
      <w:r w:rsidR="005D6EC8" w:rsidRPr="005D6EC8">
        <w:t xml:space="preserve">[Post119-e][650][IDC] </w:t>
      </w:r>
      <w:r w:rsidR="005D6EC8">
        <w:t>email discussion</w:t>
      </w:r>
      <w:r>
        <w:t>.</w:t>
      </w:r>
      <w:r w:rsidR="005D6EC8">
        <w:t xml:space="preserve"> These candidates are listed below </w:t>
      </w:r>
    </w:p>
    <w:p w14:paraId="2DD893AF" w14:textId="68A67C6F" w:rsidR="005D6EC8" w:rsidRDefault="005D6EC8" w:rsidP="00405E0D"/>
    <w:p w14:paraId="716E1725" w14:textId="2938F01C"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1: Central frequency + Bandwidth of the actual affected frequency range </w:t>
      </w:r>
    </w:p>
    <w:p w14:paraId="277AE526" w14:textId="08601A4C"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2: Starting frequency + Ending frequency of the actual affected frequency range </w:t>
      </w:r>
    </w:p>
    <w:p w14:paraId="30B59C47" w14:textId="69DD8AF5"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2a: starting frequency + Bandwidth of the actual affected frequency range </w:t>
      </w:r>
    </w:p>
    <w:p w14:paraId="42390F7B" w14:textId="392E5963"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3: BWP-based reporting using BWP ID </w:t>
      </w:r>
    </w:p>
    <w:p w14:paraId="2213CAA9" w14:textId="42280F85"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4: BWP-based reporting using BWP ID + PRB index </w:t>
      </w:r>
    </w:p>
    <w:p w14:paraId="6C527B3A" w14:textId="15E83204" w:rsidR="005D6EC8" w:rsidRP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5: Measurement object ID </w:t>
      </w:r>
    </w:p>
    <w:p w14:paraId="334E4500" w14:textId="3B58C1E6" w:rsidR="005D6EC8" w:rsidRDefault="005D6EC8" w:rsidP="00F408B7">
      <w:pPr>
        <w:widowControl/>
        <w:overflowPunct w:val="0"/>
        <w:autoSpaceDE w:val="0"/>
        <w:autoSpaceDN w:val="0"/>
        <w:adjustRightInd w:val="0"/>
        <w:ind w:left="420"/>
        <w:jc w:val="left"/>
        <w:textAlignment w:val="baseline"/>
        <w:rPr>
          <w:bCs/>
          <w:color w:val="000000" w:themeColor="text1"/>
        </w:rPr>
      </w:pPr>
      <w:r w:rsidRPr="005D6EC8">
        <w:rPr>
          <w:bCs/>
          <w:color w:val="000000" w:themeColor="text1"/>
        </w:rPr>
        <w:t xml:space="preserve">Option 6: Resource Block Group (RBG) based reporting </w:t>
      </w:r>
    </w:p>
    <w:p w14:paraId="571374E9" w14:textId="77777777" w:rsidR="00F408B7" w:rsidRPr="005D6EC8" w:rsidRDefault="00F408B7" w:rsidP="00F408B7">
      <w:pPr>
        <w:widowControl/>
        <w:overflowPunct w:val="0"/>
        <w:autoSpaceDE w:val="0"/>
        <w:autoSpaceDN w:val="0"/>
        <w:adjustRightInd w:val="0"/>
        <w:ind w:left="1077"/>
        <w:jc w:val="left"/>
        <w:textAlignment w:val="baseline"/>
        <w:rPr>
          <w:bCs/>
          <w:color w:val="000000" w:themeColor="text1"/>
        </w:rPr>
      </w:pPr>
    </w:p>
    <w:p w14:paraId="035C8FBD" w14:textId="02269A15" w:rsidR="00405E0D" w:rsidRDefault="00405E0D" w:rsidP="00405E0D">
      <w:r>
        <w:t xml:space="preserve">In this contribution we </w:t>
      </w:r>
      <w:r w:rsidR="00D51F3D">
        <w:t>first discuss the benefit of having unified FDM solution for both serving and non</w:t>
      </w:r>
      <w:r w:rsidR="009A4433">
        <w:t>-</w:t>
      </w:r>
      <w:r w:rsidR="00D51F3D">
        <w:t xml:space="preserve">serving frequencies, </w:t>
      </w:r>
      <w:r w:rsidR="005D7D97">
        <w:t xml:space="preserve">followed by </w:t>
      </w:r>
      <w:r w:rsidR="005D6EC8">
        <w:t xml:space="preserve">further details </w:t>
      </w:r>
      <w:r w:rsidR="00F408B7">
        <w:t>about option 1.</w:t>
      </w:r>
      <w:r w:rsidR="00D14CF4">
        <w:t xml:space="preserve"> </w:t>
      </w:r>
      <w:r>
        <w:t xml:space="preserve">We then provide the details of how the </w:t>
      </w:r>
      <w:r w:rsidR="00D14CF4">
        <w:t>Option 1</w:t>
      </w:r>
      <w:r>
        <w:t xml:space="preserve"> can be applied for </w:t>
      </w:r>
      <w:r w:rsidR="005D7D97">
        <w:t xml:space="preserve">all </w:t>
      </w:r>
      <w:r>
        <w:t>the IDC scenarios agreed to be addressed in R18.</w:t>
      </w:r>
    </w:p>
    <w:p w14:paraId="4B5A86F9" w14:textId="35A79E9D" w:rsidR="004D566E" w:rsidRDefault="00633770" w:rsidP="002877F4">
      <w:pPr>
        <w:pStyle w:val="Heading1"/>
        <w:numPr>
          <w:ilvl w:val="0"/>
          <w:numId w:val="10"/>
        </w:numPr>
      </w:pPr>
      <w:r>
        <w:t>Discussion</w:t>
      </w:r>
    </w:p>
    <w:p w14:paraId="3998B6DC" w14:textId="4DE65397" w:rsidR="00155AC9" w:rsidRDefault="00155AC9" w:rsidP="00155AC9">
      <w:pPr>
        <w:pStyle w:val="Heading2"/>
      </w:pPr>
      <w:r>
        <w:rPr>
          <w:rFonts w:hint="eastAsia"/>
        </w:rPr>
        <w:t>2</w:t>
      </w:r>
      <w:r>
        <w:t xml:space="preserve">.1 </w:t>
      </w:r>
      <w:r w:rsidR="005515A1">
        <w:t xml:space="preserve">Benefits </w:t>
      </w:r>
      <w:r>
        <w:t xml:space="preserve">for having </w:t>
      </w:r>
      <w:r w:rsidR="005515A1">
        <w:t>unified FDM</w:t>
      </w:r>
      <w:r>
        <w:t xml:space="preserve"> solution </w:t>
      </w:r>
      <w:r w:rsidRPr="00155AC9">
        <w:t>for both serving and non-serving frequencies</w:t>
      </w:r>
      <w:r>
        <w:t xml:space="preserve"> </w:t>
      </w:r>
    </w:p>
    <w:p w14:paraId="3D68064B" w14:textId="0AEEA923" w:rsidR="00155AC9" w:rsidRDefault="00F468F0" w:rsidP="00155AC9">
      <w:r>
        <w:t xml:space="preserve">According to the companies’ views in [Post119-e][650] email discussion, </w:t>
      </w:r>
      <w:r w:rsidR="000B685E">
        <w:t>O</w:t>
      </w:r>
      <w:r w:rsidR="005D7D97">
        <w:t>ption</w:t>
      </w:r>
      <w:r w:rsidR="000B685E">
        <w:t xml:space="preserve"> 3</w:t>
      </w:r>
      <w:r w:rsidR="002B5B4B">
        <w:t xml:space="preserve">,4 and </w:t>
      </w:r>
      <w:r w:rsidR="000B685E">
        <w:t>6</w:t>
      </w:r>
      <w:r w:rsidR="005D7D97">
        <w:t xml:space="preserve"> </w:t>
      </w:r>
      <w:r w:rsidR="000B685E">
        <w:t xml:space="preserve">can only </w:t>
      </w:r>
      <w:r w:rsidR="005D7D97">
        <w:t>work if</w:t>
      </w:r>
      <w:r w:rsidR="00155AC9">
        <w:t xml:space="preserve"> the affected frequency is the UE’s serving frequency. </w:t>
      </w:r>
      <w:r>
        <w:t>I</w:t>
      </w:r>
      <w:r w:rsidR="00155AC9">
        <w:t xml:space="preserve">f the affected frequency is the UE’s non-serving frequency, the UE will not be able to report the actually affected PRB or BWP </w:t>
      </w:r>
      <w:r w:rsidR="00563356">
        <w:t xml:space="preserve">or RGB </w:t>
      </w:r>
      <w:r w:rsidR="00155AC9">
        <w:t>since UE has no information on the PRB or BWP</w:t>
      </w:r>
      <w:r w:rsidR="00563356">
        <w:t xml:space="preserve"> or RGB</w:t>
      </w:r>
      <w:r w:rsidR="00155AC9">
        <w:t xml:space="preserve"> of the non-serving frequency. </w:t>
      </w:r>
    </w:p>
    <w:p w14:paraId="6BCAE143" w14:textId="6130AAEB" w:rsidR="00563356" w:rsidRDefault="00563356" w:rsidP="00155AC9"/>
    <w:p w14:paraId="6F9DF73C" w14:textId="64AFCD55" w:rsidR="002D1166" w:rsidRDefault="005D7D97" w:rsidP="002D1166">
      <w:r>
        <w:t>Based on these options s</w:t>
      </w:r>
      <w:r w:rsidR="00563356">
        <w:t xml:space="preserve">ome companies suggested </w:t>
      </w:r>
      <w:r w:rsidR="00F468F0">
        <w:t xml:space="preserve">that the granular indication for FDM enhancement only considers serving frequency </w:t>
      </w:r>
      <w:r w:rsidR="00563356">
        <w:t xml:space="preserve">during RAN 2 # 119 meeting. </w:t>
      </w:r>
      <w:r w:rsidR="005515A1">
        <w:t>However,</w:t>
      </w:r>
      <w:r w:rsidR="002D1166">
        <w:t xml:space="preserve"> </w:t>
      </w:r>
      <w:r w:rsidR="002028F6">
        <w:t xml:space="preserve">based on the majority view in the </w:t>
      </w:r>
      <w:r w:rsidR="002028F6" w:rsidRPr="005D6EC8">
        <w:t xml:space="preserve">[AT119-e] [615] [IDC] </w:t>
      </w:r>
      <w:r w:rsidR="002028F6">
        <w:t xml:space="preserve">email discussion </w:t>
      </w:r>
      <w:r w:rsidR="002D1166">
        <w:t>we had agreed the following</w:t>
      </w:r>
      <w:r w:rsidR="002028F6">
        <w:t>.</w:t>
      </w:r>
    </w:p>
    <w:p w14:paraId="3AEA57D3" w14:textId="20D840C8" w:rsidR="002D1166" w:rsidRDefault="002D1166" w:rsidP="002D1166">
      <w:pPr>
        <w:rPr>
          <w:szCs w:val="21"/>
        </w:rPr>
      </w:pPr>
    </w:p>
    <w:p w14:paraId="041B5860" w14:textId="77777777" w:rsidR="002D1166" w:rsidRPr="002028F6" w:rsidRDefault="002D1166" w:rsidP="00F468F0">
      <w:pPr>
        <w:pStyle w:val="Doc-text2"/>
        <w:pBdr>
          <w:top w:val="single" w:sz="4" w:space="1" w:color="auto"/>
          <w:left w:val="single" w:sz="4" w:space="0" w:color="auto"/>
          <w:bottom w:val="single" w:sz="4" w:space="1" w:color="auto"/>
          <w:right w:val="single" w:sz="4" w:space="4" w:color="auto"/>
        </w:pBdr>
        <w:ind w:left="0" w:firstLine="0"/>
        <w:rPr>
          <w:sz w:val="18"/>
        </w:rPr>
      </w:pPr>
      <w:r w:rsidRPr="002028F6">
        <w:rPr>
          <w:sz w:val="18"/>
        </w:rPr>
        <w:t>Agreements:</w:t>
      </w:r>
    </w:p>
    <w:p w14:paraId="281A10FA" w14:textId="77777777" w:rsidR="002D1166" w:rsidRPr="002028F6" w:rsidRDefault="002D1166" w:rsidP="00F468F0">
      <w:pPr>
        <w:pStyle w:val="Doc-text2"/>
        <w:pBdr>
          <w:top w:val="single" w:sz="4" w:space="1" w:color="auto"/>
          <w:left w:val="single" w:sz="4" w:space="0" w:color="auto"/>
          <w:bottom w:val="single" w:sz="4" w:space="1" w:color="auto"/>
          <w:right w:val="single" w:sz="4" w:space="4" w:color="auto"/>
        </w:pBdr>
        <w:ind w:left="0" w:firstLine="0"/>
        <w:rPr>
          <w:sz w:val="18"/>
        </w:rPr>
      </w:pPr>
      <w:r w:rsidRPr="002028F6">
        <w:rPr>
          <w:sz w:val="18"/>
        </w:rPr>
        <w:t>1 Granular indications of the affected NR frequency reported for IDC issue needs to consider both serving and non-serving frequency as in the legacy FDM solution.</w:t>
      </w:r>
    </w:p>
    <w:p w14:paraId="011B4F81" w14:textId="20374FCE" w:rsidR="005515A1" w:rsidRPr="00F468F0" w:rsidRDefault="005D7D97" w:rsidP="00F468F0">
      <w:pPr>
        <w:pStyle w:val="BodyText"/>
        <w:spacing w:before="240" w:after="0" w:line="240" w:lineRule="auto"/>
        <w:rPr>
          <w:sz w:val="20"/>
        </w:rPr>
      </w:pPr>
      <w:r w:rsidRPr="00F468F0">
        <w:rPr>
          <w:sz w:val="20"/>
        </w:rPr>
        <w:t>In our view t</w:t>
      </w:r>
      <w:r w:rsidR="005515A1" w:rsidRPr="00F468F0">
        <w:rPr>
          <w:sz w:val="20"/>
        </w:rPr>
        <w:t xml:space="preserve">his agreement will clearly help in reducing the standardization efforts by </w:t>
      </w:r>
      <w:r w:rsidRPr="00F468F0">
        <w:rPr>
          <w:sz w:val="20"/>
        </w:rPr>
        <w:t>designing</w:t>
      </w:r>
      <w:r w:rsidR="005515A1" w:rsidRPr="00F468F0">
        <w:rPr>
          <w:sz w:val="20"/>
        </w:rPr>
        <w:t xml:space="preserve"> a unified FDM solution in R18 that will allow for more granular IDC indications both on serving and on non-serving frequencies.</w:t>
      </w:r>
    </w:p>
    <w:p w14:paraId="55652B5B" w14:textId="77777777" w:rsidR="005515A1" w:rsidRPr="00F468F0" w:rsidRDefault="005515A1" w:rsidP="005515A1">
      <w:pPr>
        <w:pStyle w:val="BodyText"/>
        <w:spacing w:after="0" w:line="240" w:lineRule="auto"/>
      </w:pPr>
    </w:p>
    <w:p w14:paraId="1C4A631B" w14:textId="2A6EB06B" w:rsidR="00770DF3" w:rsidRDefault="00F468F0" w:rsidP="004A4CFB">
      <w:pPr>
        <w:rPr>
          <w:szCs w:val="21"/>
        </w:rPr>
      </w:pPr>
      <w:r>
        <w:rPr>
          <w:szCs w:val="21"/>
        </w:rPr>
        <w:t>D</w:t>
      </w:r>
      <w:r w:rsidR="005515A1">
        <w:rPr>
          <w:szCs w:val="21"/>
        </w:rPr>
        <w:t xml:space="preserve">uring </w:t>
      </w:r>
      <w:r w:rsidR="005515A1" w:rsidRPr="005D6EC8">
        <w:t xml:space="preserve">[Post119-e][650][IDC] </w:t>
      </w:r>
      <w:r w:rsidR="005515A1">
        <w:t>email discussion,</w:t>
      </w:r>
      <w:r>
        <w:t xml:space="preserve"> this issue was re-discussed and</w:t>
      </w:r>
      <w:r w:rsidR="002B5B4B">
        <w:t xml:space="preserve"> </w:t>
      </w:r>
      <w:r w:rsidR="005515A1">
        <w:t xml:space="preserve">some companies </w:t>
      </w:r>
      <w:r>
        <w:t xml:space="preserve">again </w:t>
      </w:r>
      <w:r w:rsidR="005515A1">
        <w:t>expressed the view that f</w:t>
      </w:r>
      <w:r w:rsidR="005515A1" w:rsidRPr="005515A1">
        <w:rPr>
          <w:szCs w:val="21"/>
        </w:rPr>
        <w:t xml:space="preserve">or the non-serving </w:t>
      </w:r>
      <w:r w:rsidR="00125613">
        <w:rPr>
          <w:szCs w:val="21"/>
        </w:rPr>
        <w:t>frequencies</w:t>
      </w:r>
      <w:r w:rsidR="005515A1" w:rsidRPr="005515A1">
        <w:rPr>
          <w:szCs w:val="21"/>
        </w:rPr>
        <w:t>, the network can avoid handover to the affected non-serving frequency based on the legacy ARFCN reporting</w:t>
      </w:r>
      <w:r w:rsidR="005515A1">
        <w:rPr>
          <w:szCs w:val="21"/>
        </w:rPr>
        <w:t>.</w:t>
      </w:r>
      <w:r w:rsidR="002028F6">
        <w:rPr>
          <w:szCs w:val="21"/>
        </w:rPr>
        <w:t xml:space="preserve"> </w:t>
      </w:r>
      <w:r>
        <w:rPr>
          <w:szCs w:val="21"/>
        </w:rPr>
        <w:t>However, i</w:t>
      </w:r>
      <w:r w:rsidR="00125613">
        <w:rPr>
          <w:szCs w:val="21"/>
        </w:rPr>
        <w:t xml:space="preserve">n our view, UE </w:t>
      </w:r>
      <w:r w:rsidR="00125613" w:rsidRPr="00125613">
        <w:rPr>
          <w:szCs w:val="21"/>
        </w:rPr>
        <w:t>reporting more granular information</w:t>
      </w:r>
      <w:r w:rsidR="00125613">
        <w:rPr>
          <w:szCs w:val="21"/>
        </w:rPr>
        <w:t xml:space="preserve"> for </w:t>
      </w:r>
      <w:r w:rsidR="00125613" w:rsidRPr="00125613">
        <w:rPr>
          <w:szCs w:val="21"/>
        </w:rPr>
        <w:t xml:space="preserve">the non-serving frequency will help the gNB to make more accurate decision on whether to HO the UE to the target frequency or add the target frequency as the </w:t>
      </w:r>
      <w:proofErr w:type="spellStart"/>
      <w:r w:rsidR="00125613" w:rsidRPr="00125613">
        <w:rPr>
          <w:szCs w:val="21"/>
        </w:rPr>
        <w:t>SCell</w:t>
      </w:r>
      <w:proofErr w:type="spellEnd"/>
      <w:r w:rsidR="00125613" w:rsidRPr="00125613">
        <w:rPr>
          <w:szCs w:val="21"/>
        </w:rPr>
        <w:t xml:space="preserve"> for the UE. For example, if only a small part of the non-serving </w:t>
      </w:r>
      <w:r w:rsidR="00125613" w:rsidRPr="00125613">
        <w:rPr>
          <w:szCs w:val="21"/>
        </w:rPr>
        <w:lastRenderedPageBreak/>
        <w:t>frequency is affected by the IDC issue as indicated by the granular information, the gNB may still decide to HO the UE to this frequency. However, if the UE just report</w:t>
      </w:r>
      <w:r w:rsidR="002B5B4B">
        <w:rPr>
          <w:szCs w:val="21"/>
        </w:rPr>
        <w:t>s</w:t>
      </w:r>
      <w:r w:rsidR="00125613" w:rsidRPr="00125613">
        <w:rPr>
          <w:szCs w:val="21"/>
        </w:rPr>
        <w:t xml:space="preserve"> the ARFCN for affected non-serving frequency, the gNB would decide to not HO the UE to it</w:t>
      </w:r>
      <w:r w:rsidR="00125613">
        <w:rPr>
          <w:szCs w:val="21"/>
        </w:rPr>
        <w:t xml:space="preserve"> at</w:t>
      </w:r>
      <w:r w:rsidR="00E36B6B">
        <w:rPr>
          <w:szCs w:val="21"/>
        </w:rPr>
        <w:t xml:space="preserve"> </w:t>
      </w:r>
      <w:r w:rsidR="00125613">
        <w:rPr>
          <w:szCs w:val="21"/>
        </w:rPr>
        <w:t xml:space="preserve">all </w:t>
      </w:r>
      <w:r w:rsidR="00125613" w:rsidRPr="00125613">
        <w:rPr>
          <w:szCs w:val="21"/>
        </w:rPr>
        <w:t>. Additionally, if the UE reports the enhanced FDM information for both the serving and the non-serving frequency, the UE does not need to report it again when its serving frequency is changed which clearly reduces the overall signaling overhead.</w:t>
      </w:r>
      <w:r w:rsidR="00125613">
        <w:rPr>
          <w:szCs w:val="21"/>
        </w:rPr>
        <w:t xml:space="preserve"> </w:t>
      </w:r>
    </w:p>
    <w:p w14:paraId="6EDCF3F6" w14:textId="77777777" w:rsidR="00770DF3" w:rsidRDefault="00770DF3" w:rsidP="004A4CFB">
      <w:pPr>
        <w:rPr>
          <w:szCs w:val="21"/>
        </w:rPr>
      </w:pPr>
    </w:p>
    <w:p w14:paraId="3F4E9ABB" w14:textId="4C396B31" w:rsidR="00125613" w:rsidRDefault="00125613" w:rsidP="00125613">
      <w:pPr>
        <w:rPr>
          <w:b/>
          <w:szCs w:val="21"/>
        </w:rPr>
      </w:pPr>
      <w:r w:rsidRPr="00D51F3D">
        <w:rPr>
          <w:b/>
          <w:szCs w:val="21"/>
        </w:rPr>
        <w:t xml:space="preserve">Observation 1 -  UE reporting more granular information than just ARFCN for the non-serving frequency will help the gNB to make more accurate decision on whether to HO the UE to the target frequency or add the target frequency </w:t>
      </w:r>
      <w:r w:rsidR="002B5B4B">
        <w:rPr>
          <w:b/>
          <w:szCs w:val="21"/>
        </w:rPr>
        <w:t xml:space="preserve">cell </w:t>
      </w:r>
      <w:r w:rsidR="00F468F0">
        <w:rPr>
          <w:b/>
          <w:szCs w:val="21"/>
        </w:rPr>
        <w:t xml:space="preserve">as </w:t>
      </w:r>
      <w:proofErr w:type="spellStart"/>
      <w:r w:rsidRPr="00D51F3D">
        <w:rPr>
          <w:b/>
          <w:szCs w:val="21"/>
        </w:rPr>
        <w:t>SCell</w:t>
      </w:r>
      <w:proofErr w:type="spellEnd"/>
      <w:r w:rsidRPr="00D51F3D">
        <w:rPr>
          <w:b/>
          <w:szCs w:val="21"/>
        </w:rPr>
        <w:t xml:space="preserve"> for the UE</w:t>
      </w:r>
      <w:r w:rsidR="00D51F3D" w:rsidRPr="00D51F3D">
        <w:rPr>
          <w:b/>
          <w:szCs w:val="21"/>
        </w:rPr>
        <w:t xml:space="preserve"> </w:t>
      </w:r>
      <w:r w:rsidR="00F468F0">
        <w:rPr>
          <w:b/>
          <w:szCs w:val="21"/>
        </w:rPr>
        <w:t>if</w:t>
      </w:r>
      <w:r w:rsidR="00F468F0" w:rsidRPr="00D51F3D">
        <w:rPr>
          <w:b/>
          <w:szCs w:val="21"/>
        </w:rPr>
        <w:t xml:space="preserve"> </w:t>
      </w:r>
      <w:r w:rsidR="00D51F3D" w:rsidRPr="00D51F3D">
        <w:rPr>
          <w:b/>
          <w:szCs w:val="21"/>
        </w:rPr>
        <w:t xml:space="preserve">only part of the non-serving frequency </w:t>
      </w:r>
      <w:r w:rsidR="00EA620A">
        <w:rPr>
          <w:b/>
          <w:szCs w:val="21"/>
        </w:rPr>
        <w:t>is</w:t>
      </w:r>
      <w:r w:rsidR="00D51F3D" w:rsidRPr="00D51F3D">
        <w:rPr>
          <w:b/>
          <w:szCs w:val="21"/>
        </w:rPr>
        <w:t xml:space="preserve"> affected by the IDC issue.</w:t>
      </w:r>
    </w:p>
    <w:p w14:paraId="45C4686D" w14:textId="77777777" w:rsidR="004A4CFB" w:rsidRDefault="004A4CFB" w:rsidP="00125613">
      <w:pPr>
        <w:rPr>
          <w:b/>
          <w:szCs w:val="21"/>
        </w:rPr>
      </w:pPr>
    </w:p>
    <w:p w14:paraId="47D4D41F" w14:textId="53C9BCFD" w:rsidR="00F468F0" w:rsidRDefault="00F468F0" w:rsidP="00125613">
      <w:pPr>
        <w:rPr>
          <w:szCs w:val="21"/>
        </w:rPr>
      </w:pPr>
      <w:r>
        <w:rPr>
          <w:rFonts w:hint="eastAsia"/>
          <w:szCs w:val="21"/>
        </w:rPr>
        <w:t>I</w:t>
      </w:r>
      <w:r>
        <w:rPr>
          <w:szCs w:val="21"/>
        </w:rPr>
        <w:t>n our understanding, this issue has been fully discussed during RAN</w:t>
      </w:r>
      <w:r>
        <w:rPr>
          <w:rFonts w:hint="eastAsia"/>
          <w:szCs w:val="21"/>
        </w:rPr>
        <w:t>#</w:t>
      </w:r>
      <w:r>
        <w:rPr>
          <w:szCs w:val="21"/>
        </w:rPr>
        <w:t>119 meeting and RAN2 has made clear agreement. We don’t see any strong motivation and critical issue justifying to re-open the discussion on this issue and to revert the agreement</w:t>
      </w:r>
      <w:r w:rsidR="00EA620A">
        <w:rPr>
          <w:szCs w:val="21"/>
        </w:rPr>
        <w:t xml:space="preserve"> from RAN#119 meeting</w:t>
      </w:r>
      <w:r>
        <w:rPr>
          <w:szCs w:val="21"/>
        </w:rPr>
        <w:t xml:space="preserve">. </w:t>
      </w:r>
      <w:r w:rsidR="00EA620A">
        <w:rPr>
          <w:szCs w:val="21"/>
        </w:rPr>
        <w:t>Instead, w</w:t>
      </w:r>
      <w:r>
        <w:rPr>
          <w:szCs w:val="21"/>
        </w:rPr>
        <w:t xml:space="preserve">e need to </w:t>
      </w:r>
      <w:r w:rsidR="00EA620A">
        <w:rPr>
          <w:szCs w:val="21"/>
        </w:rPr>
        <w:t>move forward based on that agreement.</w:t>
      </w:r>
    </w:p>
    <w:p w14:paraId="24BD9E75" w14:textId="77777777" w:rsidR="00F468F0" w:rsidRDefault="00F468F0" w:rsidP="00125613">
      <w:pPr>
        <w:rPr>
          <w:szCs w:val="21"/>
        </w:rPr>
      </w:pPr>
    </w:p>
    <w:p w14:paraId="676F116D" w14:textId="34412380" w:rsidR="00F468F0" w:rsidRPr="00D51F3D" w:rsidRDefault="00F468F0" w:rsidP="00125613">
      <w:pPr>
        <w:rPr>
          <w:b/>
          <w:szCs w:val="21"/>
        </w:rPr>
      </w:pPr>
      <w:r>
        <w:rPr>
          <w:szCs w:val="21"/>
        </w:rPr>
        <w:t>Hence, we propose the following:</w:t>
      </w:r>
    </w:p>
    <w:p w14:paraId="41FBAA49" w14:textId="77777777" w:rsidR="00F468F0" w:rsidRDefault="00F468F0" w:rsidP="008337C6">
      <w:pPr>
        <w:rPr>
          <w:b/>
          <w:szCs w:val="21"/>
        </w:rPr>
      </w:pPr>
    </w:p>
    <w:p w14:paraId="78C7024D" w14:textId="14BAA873" w:rsidR="008337C6" w:rsidRDefault="008337C6" w:rsidP="008337C6">
      <w:pPr>
        <w:rPr>
          <w:b/>
          <w:szCs w:val="21"/>
        </w:rPr>
      </w:pPr>
      <w:r w:rsidRPr="00D51F3D">
        <w:rPr>
          <w:b/>
          <w:szCs w:val="21"/>
        </w:rPr>
        <w:t xml:space="preserve">Proposal </w:t>
      </w:r>
      <w:r>
        <w:rPr>
          <w:b/>
          <w:szCs w:val="21"/>
        </w:rPr>
        <w:t>1</w:t>
      </w:r>
      <w:r w:rsidRPr="00D51F3D">
        <w:rPr>
          <w:b/>
          <w:szCs w:val="21"/>
        </w:rPr>
        <w:t xml:space="preserve"> </w:t>
      </w:r>
      <w:r w:rsidR="00EA620A">
        <w:rPr>
          <w:b/>
          <w:szCs w:val="21"/>
        </w:rPr>
        <w:t xml:space="preserve">Keep the </w:t>
      </w:r>
      <w:r>
        <w:rPr>
          <w:b/>
          <w:szCs w:val="21"/>
        </w:rPr>
        <w:t xml:space="preserve">previous </w:t>
      </w:r>
      <w:r w:rsidR="00EA620A">
        <w:rPr>
          <w:b/>
          <w:szCs w:val="21"/>
        </w:rPr>
        <w:t xml:space="preserve">RAN2 </w:t>
      </w:r>
      <w:r>
        <w:rPr>
          <w:b/>
          <w:szCs w:val="21"/>
        </w:rPr>
        <w:t>agreement</w:t>
      </w:r>
      <w:r w:rsidRPr="00D51F3D">
        <w:rPr>
          <w:b/>
          <w:szCs w:val="21"/>
        </w:rPr>
        <w:t xml:space="preserve"> that </w:t>
      </w:r>
      <w:r w:rsidR="00EA620A">
        <w:rPr>
          <w:b/>
          <w:szCs w:val="21"/>
        </w:rPr>
        <w:t>“</w:t>
      </w:r>
      <w:r w:rsidR="00EA620A" w:rsidRPr="00EA620A">
        <w:rPr>
          <w:b/>
          <w:szCs w:val="21"/>
        </w:rPr>
        <w:t>Granular indications of the affected NR frequency reported for IDC issue needs to consider both serving and non-serving frequency as in the legacy FDM solution</w:t>
      </w:r>
      <w:r w:rsidR="00EA620A">
        <w:rPr>
          <w:b/>
          <w:szCs w:val="21"/>
        </w:rPr>
        <w:t xml:space="preserve">”, or rewording it to the proposal 1 as proposed by the rapporteur of </w:t>
      </w:r>
      <w:r w:rsidR="00EA620A" w:rsidRPr="00EA620A">
        <w:rPr>
          <w:b/>
          <w:szCs w:val="21"/>
        </w:rPr>
        <w:t>[Post119-e][650]</w:t>
      </w:r>
      <w:r w:rsidR="002B5B4B">
        <w:rPr>
          <w:b/>
          <w:szCs w:val="21"/>
        </w:rPr>
        <w:t xml:space="preserve"> email discussion</w:t>
      </w:r>
      <w:r w:rsidR="00EA620A" w:rsidRPr="00EA620A">
        <w:rPr>
          <w:b/>
          <w:szCs w:val="21"/>
        </w:rPr>
        <w:t>, without spending time on re-discussin</w:t>
      </w:r>
      <w:r w:rsidR="002B5B4B">
        <w:rPr>
          <w:b/>
          <w:szCs w:val="21"/>
        </w:rPr>
        <w:t>g</w:t>
      </w:r>
      <w:r w:rsidR="00EA620A" w:rsidRPr="00EA620A">
        <w:rPr>
          <w:b/>
          <w:szCs w:val="21"/>
        </w:rPr>
        <w:t xml:space="preserve"> the issue</w:t>
      </w:r>
      <w:r w:rsidRPr="00D51F3D">
        <w:rPr>
          <w:b/>
          <w:szCs w:val="21"/>
        </w:rPr>
        <w:t>.</w:t>
      </w:r>
    </w:p>
    <w:p w14:paraId="188F4921" w14:textId="4B2EA320" w:rsidR="00ED4169" w:rsidRDefault="00ED4169" w:rsidP="00125613">
      <w:pPr>
        <w:rPr>
          <w:b/>
          <w:szCs w:val="21"/>
        </w:rPr>
      </w:pPr>
    </w:p>
    <w:p w14:paraId="5734DDE3" w14:textId="1E2C41F2" w:rsidR="004A4CFB" w:rsidRPr="004A4CFB" w:rsidRDefault="004A4CFB" w:rsidP="00125613">
      <w:pPr>
        <w:rPr>
          <w:szCs w:val="21"/>
        </w:rPr>
      </w:pPr>
      <w:r>
        <w:rPr>
          <w:szCs w:val="21"/>
        </w:rPr>
        <w:t xml:space="preserve">Considering this we believe that </w:t>
      </w:r>
      <w:r w:rsidR="004D5FC9">
        <w:rPr>
          <w:szCs w:val="21"/>
        </w:rPr>
        <w:t>f</w:t>
      </w:r>
      <w:r>
        <w:rPr>
          <w:szCs w:val="21"/>
        </w:rPr>
        <w:t xml:space="preserve">requency ranges based </w:t>
      </w:r>
      <w:r w:rsidR="004D5FC9">
        <w:rPr>
          <w:szCs w:val="21"/>
        </w:rPr>
        <w:t>FDM enhancements</w:t>
      </w:r>
      <w:r>
        <w:rPr>
          <w:szCs w:val="21"/>
        </w:rPr>
        <w:t xml:space="preserve"> in option 1, 2 and 2a </w:t>
      </w:r>
      <w:r w:rsidR="004D5FC9">
        <w:rPr>
          <w:szCs w:val="21"/>
        </w:rPr>
        <w:t xml:space="preserve">are the ones that can clearly work for both serving and non-serving frequencies and for </w:t>
      </w:r>
      <w:r w:rsidR="004D5FC9" w:rsidRPr="004D5FC9">
        <w:rPr>
          <w:szCs w:val="21"/>
        </w:rPr>
        <w:t>EN-DC/NR-DC</w:t>
      </w:r>
      <w:r w:rsidR="004D5FC9">
        <w:rPr>
          <w:szCs w:val="21"/>
        </w:rPr>
        <w:t xml:space="preserve"> scenarios. Additionally, Option 1 is the natural extension of the existing FDM Solution in NR that involves the use of the center frequency</w:t>
      </w:r>
      <w:r w:rsidR="008337C6">
        <w:rPr>
          <w:szCs w:val="21"/>
        </w:rPr>
        <w:t xml:space="preserve"> in combination with just one additional parameter, the bandwidth</w:t>
      </w:r>
      <w:r w:rsidR="00EA620A">
        <w:rPr>
          <w:szCs w:val="21"/>
        </w:rPr>
        <w:t>, which means the specification impact would the minimum if option 1 is adopted</w:t>
      </w:r>
      <w:r w:rsidR="004D5FC9">
        <w:rPr>
          <w:szCs w:val="21"/>
        </w:rPr>
        <w:t xml:space="preserve">. </w:t>
      </w:r>
      <w:r w:rsidR="008337C6">
        <w:rPr>
          <w:szCs w:val="21"/>
        </w:rPr>
        <w:t>Hence,</w:t>
      </w:r>
      <w:r w:rsidR="004D5FC9">
        <w:rPr>
          <w:szCs w:val="21"/>
        </w:rPr>
        <w:t xml:space="preserve"> we </w:t>
      </w:r>
      <w:r w:rsidR="008337C6">
        <w:rPr>
          <w:szCs w:val="21"/>
        </w:rPr>
        <w:t xml:space="preserve">suggest RAN 2 to adopt Option 1 for the FDM enhancements for R18. </w:t>
      </w:r>
    </w:p>
    <w:p w14:paraId="113796EE" w14:textId="3244EEAC" w:rsidR="00155AC9" w:rsidRDefault="00155AC9" w:rsidP="00155AC9">
      <w:pPr>
        <w:rPr>
          <w:lang w:val="en-GB" w:eastAsia="ja-JP"/>
        </w:rPr>
      </w:pPr>
    </w:p>
    <w:p w14:paraId="63351230" w14:textId="57DD1380" w:rsidR="008337C6" w:rsidRPr="008337C6" w:rsidRDefault="008337C6" w:rsidP="008337C6">
      <w:pPr>
        <w:rPr>
          <w:b/>
          <w:szCs w:val="21"/>
        </w:rPr>
      </w:pPr>
      <w:r w:rsidRPr="008337C6">
        <w:rPr>
          <w:b/>
          <w:szCs w:val="21"/>
        </w:rPr>
        <w:t xml:space="preserve">Proposal </w:t>
      </w:r>
      <w:r>
        <w:rPr>
          <w:b/>
          <w:szCs w:val="21"/>
        </w:rPr>
        <w:t>2</w:t>
      </w:r>
      <w:r w:rsidRPr="008337C6">
        <w:rPr>
          <w:b/>
          <w:szCs w:val="21"/>
        </w:rPr>
        <w:t xml:space="preserve"> </w:t>
      </w:r>
      <w:r w:rsidR="00EA620A">
        <w:rPr>
          <w:b/>
          <w:szCs w:val="21"/>
        </w:rPr>
        <w:t>A</w:t>
      </w:r>
      <w:r w:rsidRPr="008337C6">
        <w:rPr>
          <w:b/>
          <w:szCs w:val="21"/>
        </w:rPr>
        <w:t xml:space="preserve">dopt Option 1 - </w:t>
      </w:r>
      <w:r w:rsidRPr="008337C6">
        <w:rPr>
          <w:b/>
          <w:bCs/>
          <w:color w:val="000000" w:themeColor="text1"/>
        </w:rPr>
        <w:t xml:space="preserve">Central frequency + Bandwidth of the actual affected frequency range </w:t>
      </w:r>
      <w:r w:rsidRPr="008337C6">
        <w:rPr>
          <w:b/>
          <w:szCs w:val="21"/>
        </w:rPr>
        <w:t>for reporting for FDM enhancements in R18.</w:t>
      </w:r>
    </w:p>
    <w:p w14:paraId="1984FDAD" w14:textId="71017ACB" w:rsidR="008337C6" w:rsidRDefault="008337C6" w:rsidP="00155AC9">
      <w:pPr>
        <w:rPr>
          <w:lang w:val="en-GB" w:eastAsia="ja-JP"/>
        </w:rPr>
      </w:pPr>
    </w:p>
    <w:p w14:paraId="60D0C211" w14:textId="2D3FB5D6" w:rsidR="008337C6" w:rsidRDefault="008337C6" w:rsidP="00155AC9">
      <w:pPr>
        <w:rPr>
          <w:lang w:val="en-GB" w:eastAsia="ja-JP"/>
        </w:rPr>
      </w:pPr>
      <w:r>
        <w:rPr>
          <w:szCs w:val="21"/>
        </w:rPr>
        <w:t>In the following sections we provide further details about option 1 and how it can be applied to the agreed scenarios for IDC.</w:t>
      </w:r>
    </w:p>
    <w:p w14:paraId="37F4FB7D" w14:textId="40A35A4D" w:rsidR="00464F09" w:rsidRDefault="008702DF" w:rsidP="008E6327">
      <w:pPr>
        <w:pStyle w:val="Heading2"/>
      </w:pPr>
      <w:r>
        <w:rPr>
          <w:rFonts w:hint="eastAsia"/>
        </w:rPr>
        <w:t>2</w:t>
      </w:r>
      <w:r>
        <w:t>.</w:t>
      </w:r>
      <w:r w:rsidR="008337C6">
        <w:t>2</w:t>
      </w:r>
      <w:r>
        <w:t xml:space="preserve"> </w:t>
      </w:r>
      <w:r w:rsidR="00D14CF4">
        <w:t xml:space="preserve">Details of </w:t>
      </w:r>
      <w:r w:rsidR="00D32C95">
        <w:t xml:space="preserve">FDM </w:t>
      </w:r>
      <w:r w:rsidR="00F50B52" w:rsidRPr="00F50B52">
        <w:t xml:space="preserve">Enhancement </w:t>
      </w:r>
      <w:r w:rsidR="00D14CF4">
        <w:t xml:space="preserve">for Option 1 </w:t>
      </w:r>
    </w:p>
    <w:p w14:paraId="16E64953" w14:textId="4A5937D8" w:rsidR="00C6607B" w:rsidRPr="00EA620A" w:rsidRDefault="008E0A9E" w:rsidP="008E0A9E">
      <w:pPr>
        <w:pStyle w:val="ListParagraph"/>
        <w:spacing w:beforeLines="50" w:before="120" w:line="240" w:lineRule="auto"/>
        <w:ind w:leftChars="0" w:left="0" w:firstLine="0"/>
        <w:rPr>
          <w:rFonts w:eastAsiaTheme="minorEastAsia"/>
          <w:sz w:val="20"/>
          <w:szCs w:val="20"/>
        </w:rPr>
      </w:pPr>
      <w:r w:rsidRPr="00EA620A">
        <w:rPr>
          <w:rFonts w:eastAsiaTheme="minorEastAsia"/>
          <w:sz w:val="20"/>
          <w:szCs w:val="20"/>
        </w:rPr>
        <w:t xml:space="preserve">We </w:t>
      </w:r>
      <w:r w:rsidR="00A31227" w:rsidRPr="00EA620A">
        <w:rPr>
          <w:rFonts w:eastAsiaTheme="minorEastAsia"/>
          <w:sz w:val="20"/>
          <w:szCs w:val="20"/>
        </w:rPr>
        <w:t xml:space="preserve">take the existing FDM solution as the basis and consider the following </w:t>
      </w:r>
      <w:r w:rsidRPr="00EA620A">
        <w:rPr>
          <w:rFonts w:eastAsiaTheme="minorEastAsia"/>
          <w:sz w:val="20"/>
          <w:szCs w:val="20"/>
        </w:rPr>
        <w:t>two aspects for FDM enhancement.</w:t>
      </w:r>
    </w:p>
    <w:p w14:paraId="0F9EE208" w14:textId="04441FB8" w:rsidR="00511B99" w:rsidRDefault="00511B99" w:rsidP="00511B99">
      <w:pPr>
        <w:pStyle w:val="Heading4"/>
      </w:pPr>
      <w:r>
        <w:rPr>
          <w:rFonts w:hint="eastAsia"/>
        </w:rPr>
        <w:t>2</w:t>
      </w:r>
      <w:r>
        <w:t xml:space="preserve">.2.1 </w:t>
      </w:r>
      <w:r w:rsidRPr="00511B99">
        <w:t>gNB configuration for IDC</w:t>
      </w:r>
      <w:r>
        <w:t xml:space="preserve"> </w:t>
      </w:r>
    </w:p>
    <w:p w14:paraId="06477DD0" w14:textId="4E389879" w:rsidR="008A40BE" w:rsidRDefault="008A40BE" w:rsidP="00160044">
      <w:pPr>
        <w:spacing w:beforeLines="50" w:before="120"/>
      </w:pPr>
      <w:r>
        <w:rPr>
          <w:rFonts w:hint="eastAsia"/>
        </w:rPr>
        <w:t>I</w:t>
      </w:r>
      <w:r>
        <w:t xml:space="preserve">f the UE needs to report more granular indication of the affected frequencies, </w:t>
      </w:r>
      <w:r w:rsidR="004D5FC9">
        <w:t xml:space="preserve">we believe that </w:t>
      </w:r>
      <w:r>
        <w:t xml:space="preserve">the gNB should also provide more granular indication of the candidate serving frequencies for which the UE is requested </w:t>
      </w:r>
      <w:r w:rsidR="00557277">
        <w:t xml:space="preserve">to </w:t>
      </w:r>
      <w:r>
        <w:t xml:space="preserve">report the IDC issue. Otherwise, </w:t>
      </w:r>
      <w:r w:rsidR="00D97C35">
        <w:t>what the UE report</w:t>
      </w:r>
      <w:r w:rsidR="00557277">
        <w:t>s</w:t>
      </w:r>
      <w:r w:rsidR="00D97C35">
        <w:t xml:space="preserve"> may be not what the gNB </w:t>
      </w:r>
      <w:r w:rsidR="00557277">
        <w:t>is</w:t>
      </w:r>
      <w:r w:rsidR="00D97C35">
        <w:t xml:space="preserve"> interest</w:t>
      </w:r>
      <w:r w:rsidR="00557277">
        <w:t>ed in</w:t>
      </w:r>
      <w:r w:rsidR="00D97C35">
        <w:t xml:space="preserve"> know</w:t>
      </w:r>
      <w:r w:rsidR="00557277">
        <w:t>ing</w:t>
      </w:r>
      <w:r w:rsidR="00C848F9">
        <w:t>.</w:t>
      </w:r>
    </w:p>
    <w:p w14:paraId="4EB30D56" w14:textId="694365E6" w:rsidR="00F50B52" w:rsidRDefault="00C848F9" w:rsidP="00160044">
      <w:pPr>
        <w:spacing w:beforeLines="50" w:before="120"/>
      </w:pPr>
      <w:r>
        <w:t>So, i</w:t>
      </w:r>
      <w:r w:rsidR="00511B99" w:rsidRPr="00511B99">
        <w:t>n addition to configur</w:t>
      </w:r>
      <w:r w:rsidR="00511B99">
        <w:t xml:space="preserve">ing </w:t>
      </w:r>
      <w:r w:rsidR="00511B99" w:rsidRPr="00511B99">
        <w:t xml:space="preserve">the candidate serving frequency list (center frequency), the gNB </w:t>
      </w:r>
      <w:r>
        <w:t xml:space="preserve">should </w:t>
      </w:r>
      <w:r w:rsidR="00511B99" w:rsidRPr="00511B99">
        <w:t xml:space="preserve">also configure the candidate bandwidth </w:t>
      </w:r>
      <w:r>
        <w:t xml:space="preserve">for each of the candidate serving frequency, </w:t>
      </w:r>
      <w:r w:rsidR="00511B99" w:rsidRPr="00511B99">
        <w:t xml:space="preserve">which </w:t>
      </w:r>
      <w:r>
        <w:t xml:space="preserve">is used to indicate the frequency range </w:t>
      </w:r>
      <w:r w:rsidR="00511B99" w:rsidRPr="00511B99">
        <w:t>the UE is request</w:t>
      </w:r>
      <w:r w:rsidR="00511B99">
        <w:t>ed</w:t>
      </w:r>
      <w:r w:rsidR="00511B99" w:rsidRPr="00511B99">
        <w:t xml:space="preserve"> to report IDC issues</w:t>
      </w:r>
      <w:r w:rsidR="00511B99">
        <w:t xml:space="preserve"> as shown in Figure </w:t>
      </w:r>
      <w:r w:rsidR="00A31227">
        <w:t>1</w:t>
      </w:r>
      <w:r w:rsidR="00511B99">
        <w:t>.</w:t>
      </w:r>
      <w:r>
        <w:t xml:space="preserve"> </w:t>
      </w:r>
    </w:p>
    <w:p w14:paraId="7682D452" w14:textId="7EEB1831" w:rsidR="00F50B52" w:rsidRDefault="00F50B52" w:rsidP="00160044">
      <w:pPr>
        <w:spacing w:beforeLines="50" w:before="120"/>
      </w:pPr>
    </w:p>
    <w:p w14:paraId="1C0C00A5" w14:textId="14581DB2" w:rsidR="00511B99" w:rsidRDefault="00511B99" w:rsidP="00160044">
      <w:pPr>
        <w:spacing w:beforeLines="50" w:before="120"/>
      </w:pPr>
      <w:r>
        <w:rPr>
          <w:noProof/>
        </w:rPr>
        <w:drawing>
          <wp:inline distT="0" distB="0" distL="0" distR="0" wp14:anchorId="1CDCA7FD" wp14:editId="468A0450">
            <wp:extent cx="6155678" cy="955318"/>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265" cy="963789"/>
                    </a:xfrm>
                    <a:prstGeom prst="rect">
                      <a:avLst/>
                    </a:prstGeom>
                    <a:noFill/>
                  </pic:spPr>
                </pic:pic>
              </a:graphicData>
            </a:graphic>
          </wp:inline>
        </w:drawing>
      </w:r>
    </w:p>
    <w:p w14:paraId="6A7FCED0" w14:textId="442DEDD5" w:rsidR="00511B99" w:rsidRDefault="00511B99" w:rsidP="00160044">
      <w:pPr>
        <w:spacing w:beforeLines="50" w:before="120"/>
      </w:pPr>
    </w:p>
    <w:p w14:paraId="65539CD9" w14:textId="5ED78FC8" w:rsidR="00511B99" w:rsidRDefault="00511B99" w:rsidP="00511B99">
      <w:pPr>
        <w:pStyle w:val="Caption"/>
        <w:jc w:val="center"/>
        <w:rPr>
          <w:b w:val="0"/>
        </w:rPr>
      </w:pPr>
      <w:r>
        <w:t xml:space="preserve">Figure </w:t>
      </w:r>
      <w:r w:rsidR="00A31227">
        <w:t>1</w:t>
      </w:r>
      <w:r w:rsidR="00A96D4C">
        <w:t xml:space="preserve"> - </w:t>
      </w:r>
      <w:r>
        <w:t xml:space="preserve">Enhanced </w:t>
      </w:r>
      <w:r w:rsidRPr="00511B99">
        <w:t>gNB configuration for IDC</w:t>
      </w:r>
      <w:r>
        <w:t xml:space="preserve"> </w:t>
      </w:r>
      <w:r w:rsidR="00A4233F">
        <w:t xml:space="preserve">including </w:t>
      </w:r>
      <w:r w:rsidRPr="00511B99">
        <w:t>candidate serving frequency list</w:t>
      </w:r>
      <w:r>
        <w:t xml:space="preserve"> and </w:t>
      </w:r>
      <w:r w:rsidRPr="00511B99">
        <w:t>candidate bandwidth</w:t>
      </w:r>
    </w:p>
    <w:p w14:paraId="31B2ABB1" w14:textId="39C87197" w:rsidR="005A118C" w:rsidRDefault="00122B1D" w:rsidP="00160044">
      <w:pPr>
        <w:spacing w:beforeLines="50" w:before="120"/>
        <w:rPr>
          <w:b/>
        </w:rPr>
      </w:pPr>
      <w:r w:rsidRPr="00122B1D">
        <w:rPr>
          <w:b/>
        </w:rPr>
        <w:lastRenderedPageBreak/>
        <w:t xml:space="preserve">Proposal </w:t>
      </w:r>
      <w:r w:rsidR="003011EF">
        <w:rPr>
          <w:b/>
        </w:rPr>
        <w:t>3</w:t>
      </w:r>
      <w:r w:rsidRPr="00122B1D">
        <w:rPr>
          <w:b/>
        </w:rPr>
        <w:t>:</w:t>
      </w:r>
      <w:r>
        <w:rPr>
          <w:b/>
        </w:rPr>
        <w:t xml:space="preserve"> </w:t>
      </w:r>
      <w:r w:rsidR="000A7772">
        <w:rPr>
          <w:b/>
        </w:rPr>
        <w:t xml:space="preserve">For each </w:t>
      </w:r>
      <w:r w:rsidRPr="00122B1D">
        <w:rPr>
          <w:b/>
        </w:rPr>
        <w:t xml:space="preserve">candidate serving frequency (center frequency), the gNB </w:t>
      </w:r>
      <w:r w:rsidR="000A7772">
        <w:rPr>
          <w:b/>
        </w:rPr>
        <w:t>will</w:t>
      </w:r>
      <w:r w:rsidR="000A7772" w:rsidRPr="00122B1D">
        <w:rPr>
          <w:b/>
        </w:rPr>
        <w:t xml:space="preserve"> </w:t>
      </w:r>
      <w:r w:rsidRPr="00122B1D">
        <w:rPr>
          <w:b/>
        </w:rPr>
        <w:t>configure the candidate bandwidth</w:t>
      </w:r>
      <w:r w:rsidR="00FC6B1A">
        <w:rPr>
          <w:b/>
        </w:rPr>
        <w:t xml:space="preserve">, the combination of </w:t>
      </w:r>
      <w:r w:rsidRPr="00122B1D">
        <w:rPr>
          <w:b/>
        </w:rPr>
        <w:t xml:space="preserve">which </w:t>
      </w:r>
      <w:r w:rsidR="000A7772">
        <w:rPr>
          <w:b/>
        </w:rPr>
        <w:t xml:space="preserve">is used to indicate the </w:t>
      </w:r>
      <w:r w:rsidR="000A7772" w:rsidRPr="000A7772">
        <w:rPr>
          <w:b/>
        </w:rPr>
        <w:t>frequency range</w:t>
      </w:r>
      <w:r w:rsidR="000A7772" w:rsidRPr="00122B1D">
        <w:rPr>
          <w:b/>
        </w:rPr>
        <w:t xml:space="preserve"> </w:t>
      </w:r>
      <w:r w:rsidR="000A7772">
        <w:rPr>
          <w:b/>
        </w:rPr>
        <w:t xml:space="preserve">of the corresponding candidate serving frequency </w:t>
      </w:r>
      <w:r w:rsidRPr="00122B1D">
        <w:rPr>
          <w:b/>
        </w:rPr>
        <w:t>the UE is request to report IDC issues</w:t>
      </w:r>
    </w:p>
    <w:p w14:paraId="7052CE9D" w14:textId="77777777" w:rsidR="000A7772" w:rsidRDefault="000A7772" w:rsidP="00160044">
      <w:pPr>
        <w:spacing w:beforeLines="50" w:before="120"/>
        <w:rPr>
          <w:b/>
        </w:rPr>
      </w:pPr>
    </w:p>
    <w:p w14:paraId="0B42666C" w14:textId="74C4532B" w:rsidR="00283073" w:rsidRDefault="00283073" w:rsidP="00283073">
      <w:pPr>
        <w:pStyle w:val="Heading4"/>
      </w:pPr>
      <w:r>
        <w:rPr>
          <w:rFonts w:hint="eastAsia"/>
        </w:rPr>
        <w:t>2</w:t>
      </w:r>
      <w:r>
        <w:t xml:space="preserve">.2.2 </w:t>
      </w:r>
      <w:r w:rsidRPr="00283073">
        <w:rPr>
          <w:lang w:val="en-US"/>
        </w:rPr>
        <w:t xml:space="preserve">IDC </w:t>
      </w:r>
      <w:r>
        <w:rPr>
          <w:lang w:val="en-US"/>
        </w:rPr>
        <w:t xml:space="preserve">UE </w:t>
      </w:r>
      <w:r w:rsidRPr="00283073">
        <w:rPr>
          <w:lang w:val="en-US"/>
        </w:rPr>
        <w:t xml:space="preserve">assistance information </w:t>
      </w:r>
      <w:r>
        <w:rPr>
          <w:lang w:val="en-US"/>
        </w:rPr>
        <w:t>reporting</w:t>
      </w:r>
    </w:p>
    <w:p w14:paraId="6420914A" w14:textId="595A7DF2" w:rsidR="000A7772" w:rsidRDefault="003011EF" w:rsidP="00160044">
      <w:pPr>
        <w:spacing w:beforeLines="50" w:before="120"/>
      </w:pPr>
      <w:r>
        <w:t>As discussed above, in order t</w:t>
      </w:r>
      <w:r w:rsidR="00342F12">
        <w:t xml:space="preserve">o have a common design for both serving frequency and non-serving frequency, </w:t>
      </w:r>
      <w:r w:rsidR="00A31227">
        <w:t xml:space="preserve">it is required </w:t>
      </w:r>
      <w:r w:rsidR="00342F12">
        <w:t>that the</w:t>
      </w:r>
      <w:r w:rsidR="009E24F7">
        <w:t xml:space="preserve"> UE report the actually affected bandwidth and the central frequency of this bandwidth for each affected frequency</w:t>
      </w:r>
      <w:r w:rsidR="00974175">
        <w:t xml:space="preserve"> as shown in Figure </w:t>
      </w:r>
      <w:r w:rsidR="00A31227">
        <w:t>2</w:t>
      </w:r>
      <w:r w:rsidR="009E24F7">
        <w:t>.</w:t>
      </w:r>
      <w:r w:rsidR="00FC6B1A">
        <w:t xml:space="preserve"> Of course, the frequency range that </w:t>
      </w:r>
      <w:r w:rsidR="00DF79AA">
        <w:t xml:space="preserve">is </w:t>
      </w:r>
      <w:r w:rsidR="00FC6B1A">
        <w:t>determined by the affected bandwidth and central frequency are within the frequency rang</w:t>
      </w:r>
      <w:r w:rsidR="00DF79AA">
        <w:t>e</w:t>
      </w:r>
      <w:r w:rsidR="00FC6B1A">
        <w:t xml:space="preserve"> configured by the gNB for IDC. </w:t>
      </w:r>
    </w:p>
    <w:p w14:paraId="730B098B" w14:textId="1F75C2F3" w:rsidR="00A4233F" w:rsidRDefault="00A4233F" w:rsidP="00160044">
      <w:pPr>
        <w:spacing w:beforeLines="50" w:before="120"/>
      </w:pPr>
    </w:p>
    <w:p w14:paraId="03C4B32E" w14:textId="45A7F373" w:rsidR="00A4233F" w:rsidRDefault="00A4233F" w:rsidP="00160044">
      <w:pPr>
        <w:spacing w:beforeLines="50" w:before="120"/>
      </w:pPr>
      <w:r>
        <w:rPr>
          <w:noProof/>
        </w:rPr>
        <w:drawing>
          <wp:inline distT="0" distB="0" distL="0" distR="0" wp14:anchorId="205CB7AE" wp14:editId="43DB5452">
            <wp:extent cx="6130381" cy="1332391"/>
            <wp:effectExtent l="0" t="0" r="3810" b="127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3800" cy="1346175"/>
                    </a:xfrm>
                    <a:prstGeom prst="rect">
                      <a:avLst/>
                    </a:prstGeom>
                    <a:noFill/>
                  </pic:spPr>
                </pic:pic>
              </a:graphicData>
            </a:graphic>
          </wp:inline>
        </w:drawing>
      </w:r>
    </w:p>
    <w:p w14:paraId="0B77C2D8" w14:textId="77777777" w:rsidR="00283073" w:rsidRDefault="00283073" w:rsidP="00283073">
      <w:pPr>
        <w:spacing w:beforeLines="50" w:before="120"/>
      </w:pPr>
    </w:p>
    <w:p w14:paraId="0C7A8607" w14:textId="372F8900" w:rsidR="00283073" w:rsidRDefault="00283073" w:rsidP="00283073">
      <w:pPr>
        <w:pStyle w:val="Caption"/>
        <w:jc w:val="center"/>
        <w:rPr>
          <w:b w:val="0"/>
        </w:rPr>
      </w:pPr>
      <w:r>
        <w:t xml:space="preserve">Figure </w:t>
      </w:r>
      <w:r w:rsidR="00155AC9">
        <w:t>2</w:t>
      </w:r>
      <w:r w:rsidR="00A96D4C">
        <w:t xml:space="preserve"> - </w:t>
      </w:r>
      <w:r>
        <w:t xml:space="preserve">Enhanced </w:t>
      </w:r>
      <w:r w:rsidR="00A4233F">
        <w:t>UE reporting</w:t>
      </w:r>
      <w:r w:rsidRPr="00511B99">
        <w:t xml:space="preserve"> for IDC</w:t>
      </w:r>
      <w:r>
        <w:t xml:space="preserve"> </w:t>
      </w:r>
      <w:r w:rsidR="00A4233F">
        <w:t>including</w:t>
      </w:r>
      <w:r w:rsidRPr="00511B99">
        <w:t xml:space="preserve"> </w:t>
      </w:r>
      <w:r w:rsidR="00A4233F">
        <w:t xml:space="preserve">actual affected bandwidth and </w:t>
      </w:r>
      <w:r w:rsidR="00A4233F" w:rsidRPr="00283073">
        <w:t>the central frequency of this bandwidth</w:t>
      </w:r>
    </w:p>
    <w:p w14:paraId="7ED4BC5E" w14:textId="4607696D" w:rsidR="00A4233F" w:rsidRDefault="009E24F7" w:rsidP="00283073">
      <w:pPr>
        <w:spacing w:beforeLines="50" w:before="120"/>
      </w:pPr>
      <w:r>
        <w:t>In addition, c</w:t>
      </w:r>
      <w:r w:rsidR="00A4233F" w:rsidRPr="00A4233F">
        <w:t>onsidering that the actual</w:t>
      </w:r>
      <w:r w:rsidR="00ED3AFF">
        <w:t>ly</w:t>
      </w:r>
      <w:r w:rsidR="00A4233F" w:rsidRPr="00A4233F">
        <w:t xml:space="preserve"> affected frequency range for the interference from NR TX to non-3GPP RX and the interference from non-3GPP TX to NR RX could be different, the UE </w:t>
      </w:r>
      <w:r w:rsidR="00FC6B1A">
        <w:t xml:space="preserve">should be allowed </w:t>
      </w:r>
      <w:r w:rsidR="00A4233F" w:rsidRPr="00A4233F">
        <w:t>to report two different frequency range for each candidate serving frequency</w:t>
      </w:r>
    </w:p>
    <w:p w14:paraId="37316A85" w14:textId="182622C1" w:rsidR="00283073" w:rsidRDefault="00A4233F" w:rsidP="00283073">
      <w:pPr>
        <w:spacing w:beforeLines="50" w:before="120"/>
        <w:rPr>
          <w:b/>
        </w:rPr>
      </w:pPr>
      <w:r w:rsidRPr="00A4233F">
        <w:rPr>
          <w:b/>
        </w:rPr>
        <w:t xml:space="preserve">Proposal </w:t>
      </w:r>
      <w:r w:rsidR="003011EF">
        <w:rPr>
          <w:b/>
        </w:rPr>
        <w:t>4</w:t>
      </w:r>
      <w:r w:rsidRPr="00A4233F">
        <w:rPr>
          <w:b/>
        </w:rPr>
        <w:t xml:space="preserve">: </w:t>
      </w:r>
      <w:r w:rsidR="00042F98">
        <w:rPr>
          <w:b/>
        </w:rPr>
        <w:t>For each affected frequency, if the actual affected frequency rang</w:t>
      </w:r>
      <w:r w:rsidR="00DF79AA">
        <w:rPr>
          <w:b/>
        </w:rPr>
        <w:t>e</w:t>
      </w:r>
      <w:r w:rsidR="00042F98">
        <w:rPr>
          <w:b/>
        </w:rPr>
        <w:t xml:space="preserve"> is within the frequency range that is configured by the </w:t>
      </w:r>
      <w:r w:rsidR="00EC7840">
        <w:rPr>
          <w:b/>
        </w:rPr>
        <w:t>gNB,</w:t>
      </w:r>
      <w:r w:rsidR="00042F98">
        <w:rPr>
          <w:b/>
        </w:rPr>
        <w:t xml:space="preserve"> </w:t>
      </w:r>
      <w:r w:rsidRPr="00A4233F">
        <w:rPr>
          <w:b/>
        </w:rPr>
        <w:t>UE reports the actual affected bandwidth and the central frequency of this bandwidth for each interference direction</w:t>
      </w:r>
      <w:r w:rsidR="00913EB9">
        <w:rPr>
          <w:b/>
        </w:rPr>
        <w:t xml:space="preserve"> i.e. </w:t>
      </w:r>
      <w:r w:rsidR="00EC7840">
        <w:rPr>
          <w:b/>
        </w:rPr>
        <w:t xml:space="preserve">interference from NR TX to non-3GPP RX and </w:t>
      </w:r>
      <w:r w:rsidR="00913EB9" w:rsidRPr="00913EB9">
        <w:rPr>
          <w:b/>
        </w:rPr>
        <w:t>non-3GPP TX to NR RX</w:t>
      </w:r>
      <w:r w:rsidRPr="00A4233F">
        <w:rPr>
          <w:b/>
        </w:rPr>
        <w:t xml:space="preserve"> </w:t>
      </w:r>
      <w:r w:rsidR="00EC7840">
        <w:rPr>
          <w:b/>
        </w:rPr>
        <w:t>respectively</w:t>
      </w:r>
      <w:r w:rsidR="00913EB9">
        <w:rPr>
          <w:b/>
        </w:rPr>
        <w:t>.</w:t>
      </w:r>
    </w:p>
    <w:p w14:paraId="6E00FC8F" w14:textId="477BDAB9" w:rsidR="003011EF" w:rsidRDefault="003011EF" w:rsidP="003011EF">
      <w:pPr>
        <w:pStyle w:val="Heading2"/>
      </w:pPr>
      <w:r>
        <w:rPr>
          <w:rFonts w:hint="eastAsia"/>
        </w:rPr>
        <w:t>2</w:t>
      </w:r>
      <w:r>
        <w:t xml:space="preserve">.3 Applying Option 1 </w:t>
      </w:r>
      <w:r w:rsidRPr="00F50B52">
        <w:t xml:space="preserve">for </w:t>
      </w:r>
      <w:r>
        <w:t xml:space="preserve">agreed R18 scenarios  </w:t>
      </w:r>
    </w:p>
    <w:p w14:paraId="36E5E4DF" w14:textId="71CBDD4C" w:rsidR="003011EF" w:rsidRDefault="003011EF" w:rsidP="00141906">
      <w:pPr>
        <w:spacing w:beforeLines="50" w:before="120" w:after="240"/>
      </w:pPr>
      <w:r>
        <w:t xml:space="preserve">In RAN 2#119 e meeting </w:t>
      </w:r>
      <w:r w:rsidR="009A4433">
        <w:t xml:space="preserve">the </w:t>
      </w:r>
      <w:r w:rsidRPr="00CE3FE8">
        <w:t>scenarios to be considered for IDC in R18</w:t>
      </w:r>
      <w:r w:rsidR="009A4433">
        <w:t xml:space="preserve"> has been agreed</w:t>
      </w:r>
      <w:r w:rsidR="00EA620A">
        <w:t xml:space="preserve"> but left the signaling details as FFS</w:t>
      </w:r>
      <w:r w:rsidR="009A4433">
        <w:t xml:space="preserve"> as below</w:t>
      </w:r>
      <w:r>
        <w:t xml:space="preserve">. </w:t>
      </w:r>
    </w:p>
    <w:tbl>
      <w:tblPr>
        <w:tblStyle w:val="TableGrid"/>
        <w:tblW w:w="0" w:type="auto"/>
        <w:tblLook w:val="04A0" w:firstRow="1" w:lastRow="0" w:firstColumn="1" w:lastColumn="0" w:noHBand="0" w:noVBand="1"/>
      </w:tblPr>
      <w:tblGrid>
        <w:gridCol w:w="9628"/>
      </w:tblGrid>
      <w:tr w:rsidR="009A4433" w14:paraId="498913D9" w14:textId="77777777" w:rsidTr="009A4433">
        <w:tc>
          <w:tcPr>
            <w:tcW w:w="9628" w:type="dxa"/>
          </w:tcPr>
          <w:p w14:paraId="7EB43CD1" w14:textId="77777777" w:rsidR="009A4433" w:rsidRPr="009A4433" w:rsidRDefault="009A4433" w:rsidP="009A4433">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sz w:val="21"/>
                <w:szCs w:val="21"/>
              </w:rPr>
            </w:pPr>
            <w:r w:rsidRPr="009A4433">
              <w:rPr>
                <w:rFonts w:ascii="Times New Roman" w:hAnsi="Times New Roman"/>
                <w:sz w:val="21"/>
                <w:szCs w:val="21"/>
              </w:rPr>
              <w:t>Agreements:</w:t>
            </w:r>
          </w:p>
          <w:p w14:paraId="638E180F" w14:textId="77777777" w:rsidR="009A4433" w:rsidRPr="009A4433" w:rsidRDefault="009A4433" w:rsidP="009A4433">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sz w:val="21"/>
                <w:szCs w:val="21"/>
              </w:rPr>
            </w:pPr>
            <w:r w:rsidRPr="009A4433">
              <w:rPr>
                <w:rFonts w:ascii="Times New Roman" w:hAnsi="Times New Roman"/>
                <w:sz w:val="21"/>
                <w:szCs w:val="21"/>
              </w:rPr>
              <w:t>1 The Adjacent channel interference between NR Stand Alone (SA) or MN of NR-DC and non-3GPP should be considered for the FDM enhancement in Rel.18.</w:t>
            </w:r>
          </w:p>
          <w:p w14:paraId="5D3DD449" w14:textId="77777777" w:rsidR="009A4433" w:rsidRPr="009A4433" w:rsidRDefault="009A4433" w:rsidP="009A4433">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sz w:val="21"/>
                <w:szCs w:val="21"/>
              </w:rPr>
            </w:pPr>
            <w:r w:rsidRPr="009A4433">
              <w:rPr>
                <w:rFonts w:ascii="Times New Roman" w:hAnsi="Times New Roman"/>
                <w:sz w:val="21"/>
                <w:szCs w:val="21"/>
              </w:rPr>
              <w:t>2 The Adjacent channel interference between SN (NR) of MR-DC and non-3GPP  should be considered for the FDM enhancement in Rel.18.</w:t>
            </w:r>
          </w:p>
          <w:p w14:paraId="2805D062" w14:textId="77777777" w:rsidR="009A4433" w:rsidRPr="009A4433" w:rsidRDefault="009A4433" w:rsidP="009A4433">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sz w:val="21"/>
                <w:szCs w:val="21"/>
              </w:rPr>
            </w:pPr>
            <w:r w:rsidRPr="009A4433">
              <w:rPr>
                <w:rFonts w:ascii="Times New Roman" w:hAnsi="Times New Roman"/>
                <w:sz w:val="21"/>
                <w:szCs w:val="21"/>
              </w:rPr>
              <w:t xml:space="preserve">3 NE-DC is not considered; We will work on NR </w:t>
            </w:r>
            <w:proofErr w:type="spellStart"/>
            <w:r w:rsidRPr="009A4433">
              <w:rPr>
                <w:rFonts w:ascii="Times New Roman" w:hAnsi="Times New Roman"/>
                <w:sz w:val="21"/>
                <w:szCs w:val="21"/>
              </w:rPr>
              <w:t>freq</w:t>
            </w:r>
            <w:proofErr w:type="spellEnd"/>
            <w:r w:rsidRPr="009A4433">
              <w:rPr>
                <w:rFonts w:ascii="Times New Roman" w:hAnsi="Times New Roman"/>
                <w:sz w:val="21"/>
                <w:szCs w:val="21"/>
              </w:rPr>
              <w:t xml:space="preserve"> as SA NR case. </w:t>
            </w:r>
          </w:p>
          <w:p w14:paraId="02180D9B" w14:textId="77777777" w:rsidR="009A4433" w:rsidRDefault="009A4433" w:rsidP="009A4433">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sz w:val="21"/>
                <w:szCs w:val="21"/>
              </w:rPr>
            </w:pPr>
            <w:r w:rsidRPr="009A4433">
              <w:rPr>
                <w:rFonts w:ascii="Times New Roman" w:hAnsi="Times New Roman"/>
                <w:sz w:val="21"/>
                <w:szCs w:val="21"/>
              </w:rPr>
              <w:t xml:space="preserve">4 We will not consider the enhancements on E-UTRA </w:t>
            </w:r>
            <w:proofErr w:type="spellStart"/>
            <w:r w:rsidRPr="009A4433">
              <w:rPr>
                <w:rFonts w:ascii="Times New Roman" w:hAnsi="Times New Roman"/>
                <w:sz w:val="21"/>
                <w:szCs w:val="21"/>
              </w:rPr>
              <w:t>freq</w:t>
            </w:r>
            <w:proofErr w:type="spellEnd"/>
            <w:r w:rsidRPr="009A4433">
              <w:rPr>
                <w:rFonts w:ascii="Times New Roman" w:hAnsi="Times New Roman"/>
                <w:sz w:val="21"/>
                <w:szCs w:val="21"/>
              </w:rPr>
              <w:t xml:space="preserve"> for EN-DC scenario. </w:t>
            </w:r>
          </w:p>
          <w:p w14:paraId="36C1F2B6" w14:textId="6FCEAA27" w:rsidR="009A4433" w:rsidRDefault="009A4433" w:rsidP="009A4433">
            <w:pPr>
              <w:spacing w:beforeLines="50" w:before="120" w:after="240"/>
            </w:pPr>
            <w:r w:rsidRPr="009A4433">
              <w:rPr>
                <w:rFonts w:cs="Times New Roman"/>
                <w:szCs w:val="21"/>
                <w:highlight w:val="yellow"/>
              </w:rPr>
              <w:t xml:space="preserve">FFS, on </w:t>
            </w:r>
            <w:proofErr w:type="spellStart"/>
            <w:r w:rsidRPr="009A4433">
              <w:rPr>
                <w:rFonts w:cs="Times New Roman"/>
                <w:szCs w:val="21"/>
                <w:highlight w:val="yellow"/>
              </w:rPr>
              <w:t>signalling</w:t>
            </w:r>
            <w:proofErr w:type="spellEnd"/>
            <w:r w:rsidRPr="009A4433">
              <w:rPr>
                <w:rFonts w:cs="Times New Roman"/>
                <w:szCs w:val="21"/>
                <w:highlight w:val="yellow"/>
              </w:rPr>
              <w:t xml:space="preserve"> details</w:t>
            </w:r>
            <w:r w:rsidRPr="009A4433">
              <w:rPr>
                <w:rFonts w:cs="Times New Roman"/>
                <w:szCs w:val="21"/>
              </w:rPr>
              <w:t>;</w:t>
            </w:r>
          </w:p>
        </w:tc>
      </w:tr>
    </w:tbl>
    <w:p w14:paraId="2C8A20A5" w14:textId="0DFABFDE" w:rsidR="003011EF" w:rsidRDefault="003011EF" w:rsidP="009A4433">
      <w:pPr>
        <w:spacing w:beforeLines="50" w:before="120"/>
        <w:rPr>
          <w:b/>
        </w:rPr>
      </w:pPr>
    </w:p>
    <w:tbl>
      <w:tblPr>
        <w:tblStyle w:val="TableGrid"/>
        <w:tblW w:w="0" w:type="auto"/>
        <w:tblLook w:val="04A0" w:firstRow="1" w:lastRow="0" w:firstColumn="1" w:lastColumn="0" w:noHBand="0" w:noVBand="1"/>
      </w:tblPr>
      <w:tblGrid>
        <w:gridCol w:w="9628"/>
      </w:tblGrid>
      <w:tr w:rsidR="009A4433" w14:paraId="2FE6B343" w14:textId="77777777" w:rsidTr="009A4433">
        <w:tc>
          <w:tcPr>
            <w:tcW w:w="9628" w:type="dxa"/>
          </w:tcPr>
          <w:p w14:paraId="48216CBC" w14:textId="77777777" w:rsidR="009A4433" w:rsidRDefault="009A4433" w:rsidP="009A4433">
            <w:pPr>
              <w:spacing w:beforeLines="50" w:before="120"/>
            </w:pPr>
            <w:r w:rsidRPr="00B23851">
              <w:t>Agreements:</w:t>
            </w:r>
          </w:p>
          <w:p w14:paraId="7078BA06" w14:textId="19D197B0" w:rsidR="009A4433" w:rsidRDefault="009A4433" w:rsidP="009A4433">
            <w:pPr>
              <w:spacing w:beforeLines="50" w:before="120"/>
            </w:pPr>
            <w:r w:rsidRPr="00B23851">
              <w:t>1 The IMD interference from simult</w:t>
            </w:r>
            <w:r w:rsidR="008137A6">
              <w:t xml:space="preserve">aneous Tx in EN-DC to non-3GPP </w:t>
            </w:r>
            <w:r w:rsidRPr="00B23851">
              <w:t>should be considered for the FDM enhancement in Rel.18.</w:t>
            </w:r>
          </w:p>
          <w:p w14:paraId="2EBF7D9A" w14:textId="745E39CF" w:rsidR="009A4433" w:rsidRDefault="009A4433" w:rsidP="009A4433">
            <w:pPr>
              <w:spacing w:beforeLines="50" w:before="120"/>
            </w:pPr>
            <w:r w:rsidRPr="00B23851">
              <w:t>2 The IMD interference from simult</w:t>
            </w:r>
            <w:r w:rsidR="008137A6">
              <w:t xml:space="preserve">aneous Tx in NR-DC to non-3GPP </w:t>
            </w:r>
            <w:r w:rsidRPr="00B23851">
              <w:t>should be considered for the FDM enhancement in Rel.18.</w:t>
            </w:r>
          </w:p>
          <w:p w14:paraId="29C97052" w14:textId="4FA83789" w:rsidR="009A4433" w:rsidRDefault="009A4433" w:rsidP="009A4433">
            <w:pPr>
              <w:spacing w:beforeLines="50" w:before="120"/>
              <w:rPr>
                <w:b/>
              </w:rPr>
            </w:pPr>
            <w:r w:rsidRPr="00B23851">
              <w:lastRenderedPageBreak/>
              <w:t xml:space="preserve">Note: the solution (on </w:t>
            </w:r>
            <w:proofErr w:type="spellStart"/>
            <w:r w:rsidRPr="00B23851">
              <w:t>freq</w:t>
            </w:r>
            <w:proofErr w:type="spellEnd"/>
            <w:r w:rsidRPr="00B23851">
              <w:t xml:space="preserve"> granularity) for adjacent can be reused for IMD, we will not invent new solution on </w:t>
            </w:r>
            <w:proofErr w:type="spellStart"/>
            <w:r w:rsidRPr="00B23851">
              <w:t>freq</w:t>
            </w:r>
            <w:proofErr w:type="spellEnd"/>
            <w:r w:rsidRPr="00B23851">
              <w:t xml:space="preserve"> granularity for IMD. </w:t>
            </w:r>
            <w:r w:rsidRPr="00141906">
              <w:rPr>
                <w:highlight w:val="yellow"/>
              </w:rPr>
              <w:t xml:space="preserve">FFS on </w:t>
            </w:r>
            <w:proofErr w:type="spellStart"/>
            <w:r w:rsidRPr="00141906">
              <w:rPr>
                <w:highlight w:val="yellow"/>
              </w:rPr>
              <w:t>signalling</w:t>
            </w:r>
            <w:proofErr w:type="spellEnd"/>
            <w:r w:rsidRPr="00141906">
              <w:rPr>
                <w:highlight w:val="yellow"/>
              </w:rPr>
              <w:t xml:space="preserve"> details.</w:t>
            </w:r>
          </w:p>
        </w:tc>
      </w:tr>
    </w:tbl>
    <w:p w14:paraId="425E01AD" w14:textId="77777777" w:rsidR="00611390" w:rsidRDefault="00611390" w:rsidP="00141906">
      <w:pPr>
        <w:spacing w:beforeLines="50" w:before="120" w:after="240"/>
      </w:pPr>
    </w:p>
    <w:p w14:paraId="56CAAA38" w14:textId="6D8C81D7" w:rsidR="009A4433" w:rsidRDefault="009A4433" w:rsidP="00141906">
      <w:pPr>
        <w:spacing w:beforeLines="50" w:before="120" w:after="240"/>
        <w:rPr>
          <w:b/>
        </w:rPr>
      </w:pPr>
      <w:r>
        <w:t>In the following sections we discuss the signaling details how we could apply Option 1 FDM enhancement for each of the scenarios. Note the scenarios are numbered below just for easy reference in the subsections.</w:t>
      </w:r>
    </w:p>
    <w:p w14:paraId="4A13276B" w14:textId="77777777" w:rsidR="003011EF" w:rsidRPr="009A4433" w:rsidRDefault="003011EF" w:rsidP="00141906">
      <w:pPr>
        <w:pStyle w:val="ListParagraph"/>
        <w:numPr>
          <w:ilvl w:val="0"/>
          <w:numId w:val="14"/>
        </w:numPr>
        <w:spacing w:after="0" w:afterAutospacing="0" w:line="240" w:lineRule="auto"/>
        <w:ind w:leftChars="0" w:hanging="357"/>
        <w:rPr>
          <w:sz w:val="21"/>
          <w:szCs w:val="21"/>
        </w:rPr>
      </w:pPr>
      <w:r w:rsidRPr="009A4433">
        <w:rPr>
          <w:sz w:val="21"/>
          <w:szCs w:val="21"/>
        </w:rPr>
        <w:t>Scenario 1: Adjacent channel interference between NR and non-3GPP that includes the following sub scenarios</w:t>
      </w:r>
    </w:p>
    <w:p w14:paraId="5BDC06AA" w14:textId="77777777" w:rsidR="003011EF" w:rsidRPr="009A4433" w:rsidRDefault="003011EF" w:rsidP="00141906">
      <w:pPr>
        <w:pStyle w:val="ListParagraph"/>
        <w:numPr>
          <w:ilvl w:val="1"/>
          <w:numId w:val="15"/>
        </w:numPr>
        <w:spacing w:line="240" w:lineRule="auto"/>
        <w:ind w:leftChars="0" w:hanging="357"/>
        <w:rPr>
          <w:sz w:val="21"/>
          <w:szCs w:val="21"/>
        </w:rPr>
      </w:pPr>
      <w:r w:rsidRPr="009A4433">
        <w:rPr>
          <w:sz w:val="21"/>
          <w:szCs w:val="21"/>
        </w:rPr>
        <w:t>Scenario 1-1: Adjacent channel interference between NR Stand Alone (SA) or MN of NR-DC and non-3GPP</w:t>
      </w:r>
    </w:p>
    <w:p w14:paraId="22F89CF3" w14:textId="77777777" w:rsidR="003011EF" w:rsidRPr="009A4433" w:rsidRDefault="003011EF" w:rsidP="00141906">
      <w:pPr>
        <w:pStyle w:val="ListParagraph"/>
        <w:numPr>
          <w:ilvl w:val="1"/>
          <w:numId w:val="15"/>
        </w:numPr>
        <w:spacing w:after="240" w:afterAutospacing="0" w:line="240" w:lineRule="auto"/>
        <w:ind w:leftChars="0" w:hanging="357"/>
        <w:rPr>
          <w:sz w:val="21"/>
          <w:szCs w:val="21"/>
        </w:rPr>
      </w:pPr>
      <w:r w:rsidRPr="009A4433">
        <w:rPr>
          <w:sz w:val="21"/>
          <w:szCs w:val="21"/>
        </w:rPr>
        <w:t xml:space="preserve">Scenario 1-2: </w:t>
      </w:r>
      <w:r w:rsidRPr="009A4433">
        <w:rPr>
          <w:rFonts w:hint="eastAsia"/>
          <w:sz w:val="21"/>
          <w:szCs w:val="21"/>
        </w:rPr>
        <w:t xml:space="preserve">Adjacent channel interference </w:t>
      </w:r>
      <w:r w:rsidRPr="009A4433">
        <w:rPr>
          <w:sz w:val="21"/>
          <w:szCs w:val="21"/>
        </w:rPr>
        <w:t>between SN (NR) of MR-DC and non-3GPP</w:t>
      </w:r>
    </w:p>
    <w:p w14:paraId="36A9CD0D" w14:textId="77777777" w:rsidR="003011EF" w:rsidRPr="009A4433" w:rsidRDefault="003011EF" w:rsidP="00141906">
      <w:pPr>
        <w:pStyle w:val="ListParagraph"/>
        <w:numPr>
          <w:ilvl w:val="0"/>
          <w:numId w:val="14"/>
        </w:numPr>
        <w:spacing w:after="0" w:afterAutospacing="0" w:line="240" w:lineRule="auto"/>
        <w:ind w:leftChars="0" w:hanging="357"/>
        <w:rPr>
          <w:sz w:val="21"/>
          <w:szCs w:val="21"/>
        </w:rPr>
      </w:pPr>
      <w:r w:rsidRPr="009A4433">
        <w:rPr>
          <w:sz w:val="21"/>
          <w:szCs w:val="21"/>
        </w:rPr>
        <w:t>Scenario 2: Intermodulation Distortion (IMD) interference from simultaneous Tx in MR-DC to non-3GPP that includes the following sub scenarios</w:t>
      </w:r>
    </w:p>
    <w:p w14:paraId="2B2C3D19" w14:textId="77777777" w:rsidR="003011EF" w:rsidRPr="009A4433" w:rsidRDefault="003011EF" w:rsidP="00141906">
      <w:pPr>
        <w:pStyle w:val="ListParagraph"/>
        <w:numPr>
          <w:ilvl w:val="1"/>
          <w:numId w:val="36"/>
        </w:numPr>
        <w:tabs>
          <w:tab w:val="num" w:pos="360"/>
        </w:tabs>
        <w:spacing w:line="240" w:lineRule="auto"/>
        <w:ind w:leftChars="0" w:hanging="357"/>
        <w:rPr>
          <w:sz w:val="21"/>
          <w:szCs w:val="21"/>
        </w:rPr>
      </w:pPr>
      <w:r w:rsidRPr="009A4433">
        <w:rPr>
          <w:sz w:val="21"/>
          <w:szCs w:val="21"/>
        </w:rPr>
        <w:t xml:space="preserve">Scenario 2-1: IMD interference from simultaneous Tx in EN-DC to non-3GPP </w:t>
      </w:r>
    </w:p>
    <w:p w14:paraId="5B30A599" w14:textId="77777777" w:rsidR="003011EF" w:rsidRPr="00CE3FE8" w:rsidRDefault="003011EF" w:rsidP="00141906">
      <w:pPr>
        <w:pStyle w:val="ListParagraph"/>
        <w:numPr>
          <w:ilvl w:val="1"/>
          <w:numId w:val="36"/>
        </w:numPr>
        <w:tabs>
          <w:tab w:val="num" w:pos="360"/>
        </w:tabs>
        <w:spacing w:line="240" w:lineRule="auto"/>
        <w:ind w:leftChars="0" w:hanging="357"/>
      </w:pPr>
      <w:r w:rsidRPr="009A4433">
        <w:rPr>
          <w:sz w:val="21"/>
          <w:szCs w:val="21"/>
        </w:rPr>
        <w:t>Scenario 2-2: IMD interference from simultaneous Tx in NR-DC to non-3GPP</w:t>
      </w:r>
    </w:p>
    <w:p w14:paraId="37CACCA2" w14:textId="16BC7FDC" w:rsidR="003011EF" w:rsidRPr="00AE4E23" w:rsidRDefault="003011EF" w:rsidP="003011EF">
      <w:pPr>
        <w:pStyle w:val="Heading"/>
        <w:rPr>
          <w:b w:val="0"/>
          <w:sz w:val="32"/>
          <w:szCs w:val="32"/>
          <w:u w:val="none"/>
        </w:rPr>
      </w:pPr>
      <w:r w:rsidRPr="00AE4E23">
        <w:rPr>
          <w:b w:val="0"/>
          <w:sz w:val="32"/>
          <w:szCs w:val="32"/>
          <w:u w:val="none"/>
        </w:rPr>
        <w:t>2.</w:t>
      </w:r>
      <w:r w:rsidR="00F23172">
        <w:rPr>
          <w:b w:val="0"/>
          <w:sz w:val="32"/>
          <w:szCs w:val="32"/>
          <w:u w:val="none"/>
        </w:rPr>
        <w:t>3</w:t>
      </w:r>
      <w:r w:rsidRPr="00AE4E23">
        <w:rPr>
          <w:b w:val="0"/>
          <w:sz w:val="32"/>
          <w:szCs w:val="32"/>
          <w:u w:val="none"/>
        </w:rPr>
        <w:t xml:space="preserve">.1 </w:t>
      </w:r>
      <w:r w:rsidRPr="003011EF">
        <w:rPr>
          <w:b w:val="0"/>
          <w:sz w:val="32"/>
          <w:szCs w:val="32"/>
          <w:u w:val="none"/>
        </w:rPr>
        <w:t>FDM Enhancement for Scenario 1-</w:t>
      </w:r>
      <w:r>
        <w:rPr>
          <w:b w:val="0"/>
          <w:sz w:val="32"/>
          <w:szCs w:val="32"/>
          <w:u w:val="none"/>
        </w:rPr>
        <w:t>1</w:t>
      </w:r>
      <w:r w:rsidRPr="003011EF">
        <w:rPr>
          <w:b w:val="0"/>
          <w:sz w:val="32"/>
          <w:szCs w:val="32"/>
          <w:u w:val="none"/>
        </w:rPr>
        <w:t xml:space="preserve"> </w:t>
      </w:r>
      <w:r>
        <w:rPr>
          <w:b w:val="0"/>
          <w:sz w:val="32"/>
          <w:szCs w:val="32"/>
          <w:u w:val="none"/>
        </w:rPr>
        <w:t xml:space="preserve"> </w:t>
      </w:r>
    </w:p>
    <w:p w14:paraId="301A8125" w14:textId="682004C7" w:rsidR="003011EF" w:rsidRDefault="003011EF" w:rsidP="00283073">
      <w:pPr>
        <w:spacing w:beforeLines="50" w:before="120"/>
      </w:pPr>
      <w:r>
        <w:t xml:space="preserve">The FDM enhancement based on option 1 can straight away be applied </w:t>
      </w:r>
      <w:r w:rsidR="00F23172">
        <w:t>for resolving</w:t>
      </w:r>
      <w:r>
        <w:t xml:space="preserve"> </w:t>
      </w:r>
      <w:r w:rsidR="00F23172" w:rsidRPr="00CE3FE8">
        <w:t>Adjacent channel interference between NR Stand Alone (SA) or MN of NR-DC and non-3GPP</w:t>
      </w:r>
      <w:r w:rsidR="00F23172">
        <w:t xml:space="preserve"> as described in proposal 3 and </w:t>
      </w:r>
      <w:r w:rsidR="00770DF3">
        <w:t>4</w:t>
      </w:r>
      <w:r w:rsidR="00F23172">
        <w:t xml:space="preserve"> above.</w:t>
      </w:r>
    </w:p>
    <w:p w14:paraId="64A5506C" w14:textId="77777777" w:rsidR="00141906" w:rsidRDefault="00141906" w:rsidP="00F23172">
      <w:pPr>
        <w:rPr>
          <w:b/>
          <w:szCs w:val="21"/>
        </w:rPr>
      </w:pPr>
    </w:p>
    <w:p w14:paraId="16E10036" w14:textId="7CBC736E" w:rsidR="00F23172" w:rsidRPr="00141906" w:rsidRDefault="00F23172" w:rsidP="00F23172">
      <w:pPr>
        <w:rPr>
          <w:b/>
          <w:szCs w:val="21"/>
        </w:rPr>
      </w:pPr>
      <w:r w:rsidRPr="00141906">
        <w:rPr>
          <w:b/>
          <w:szCs w:val="21"/>
        </w:rPr>
        <w:t xml:space="preserve">Proposal 5: To support the FDM enhancement for scenario 1-1 same procedure as described in Proposal 3 and 4 is applied </w:t>
      </w:r>
    </w:p>
    <w:p w14:paraId="73AC203E" w14:textId="77777777" w:rsidR="00F23172" w:rsidRPr="00C728BC" w:rsidRDefault="00F23172" w:rsidP="00F23172">
      <w:pPr>
        <w:rPr>
          <w:b/>
          <w:sz w:val="22"/>
        </w:rPr>
      </w:pPr>
    </w:p>
    <w:p w14:paraId="346619F9" w14:textId="06255D5B" w:rsidR="00F23172" w:rsidRPr="00AE4E23" w:rsidRDefault="00F23172" w:rsidP="00F23172">
      <w:pPr>
        <w:pStyle w:val="Heading"/>
        <w:rPr>
          <w:b w:val="0"/>
          <w:sz w:val="32"/>
          <w:szCs w:val="32"/>
          <w:u w:val="none"/>
        </w:rPr>
      </w:pPr>
      <w:r w:rsidRPr="00AE4E23">
        <w:rPr>
          <w:b w:val="0"/>
          <w:sz w:val="32"/>
          <w:szCs w:val="32"/>
          <w:u w:val="none"/>
        </w:rPr>
        <w:t>2.</w:t>
      </w:r>
      <w:r>
        <w:rPr>
          <w:b w:val="0"/>
          <w:sz w:val="32"/>
          <w:szCs w:val="32"/>
          <w:u w:val="none"/>
        </w:rPr>
        <w:t>3</w:t>
      </w:r>
      <w:r w:rsidRPr="00AE4E23">
        <w:rPr>
          <w:b w:val="0"/>
          <w:sz w:val="32"/>
          <w:szCs w:val="32"/>
          <w:u w:val="none"/>
        </w:rPr>
        <w:t>.</w:t>
      </w:r>
      <w:r>
        <w:rPr>
          <w:b w:val="0"/>
          <w:sz w:val="32"/>
          <w:szCs w:val="32"/>
          <w:u w:val="none"/>
        </w:rPr>
        <w:t>2</w:t>
      </w:r>
      <w:r w:rsidRPr="00AE4E23">
        <w:rPr>
          <w:b w:val="0"/>
          <w:sz w:val="32"/>
          <w:szCs w:val="32"/>
          <w:u w:val="none"/>
        </w:rPr>
        <w:t xml:space="preserve"> </w:t>
      </w:r>
      <w:r w:rsidRPr="003011EF">
        <w:rPr>
          <w:b w:val="0"/>
          <w:sz w:val="32"/>
          <w:szCs w:val="32"/>
          <w:u w:val="none"/>
        </w:rPr>
        <w:t>FDM Enhancement for Scenario 1-</w:t>
      </w:r>
      <w:r>
        <w:rPr>
          <w:b w:val="0"/>
          <w:sz w:val="32"/>
          <w:szCs w:val="32"/>
          <w:u w:val="none"/>
        </w:rPr>
        <w:t>2</w:t>
      </w:r>
      <w:r w:rsidRPr="003011EF">
        <w:rPr>
          <w:b w:val="0"/>
          <w:sz w:val="32"/>
          <w:szCs w:val="32"/>
          <w:u w:val="none"/>
        </w:rPr>
        <w:t xml:space="preserve"> </w:t>
      </w:r>
      <w:r>
        <w:rPr>
          <w:b w:val="0"/>
          <w:sz w:val="32"/>
          <w:szCs w:val="32"/>
          <w:u w:val="none"/>
        </w:rPr>
        <w:t xml:space="preserve"> </w:t>
      </w:r>
    </w:p>
    <w:p w14:paraId="6858D359" w14:textId="00BA0E57" w:rsidR="0050500A" w:rsidRDefault="006E472A" w:rsidP="006E472A">
      <w:pPr>
        <w:spacing w:beforeLines="50" w:before="120"/>
      </w:pPr>
      <w:r>
        <w:t>In case the NR node is operating as a SN within the MR-DC configuration</w:t>
      </w:r>
      <w:r w:rsidR="008C5A80">
        <w:t xml:space="preserve"> and </w:t>
      </w:r>
      <w:r w:rsidR="008C5A80" w:rsidRPr="008C5A80">
        <w:t>in case only SN frequency is affected by IDC problem</w:t>
      </w:r>
      <w:r w:rsidR="0050500A">
        <w:t>,</w:t>
      </w:r>
      <w:r>
        <w:t xml:space="preserve"> </w:t>
      </w:r>
      <w:r w:rsidR="0088183A">
        <w:t xml:space="preserve">the same </w:t>
      </w:r>
      <w:r>
        <w:t xml:space="preserve">enhancements for the Scenario 1-1 described above </w:t>
      </w:r>
      <w:r w:rsidR="0050500A">
        <w:t xml:space="preserve">for NR Stand Alone (SA) mode </w:t>
      </w:r>
      <w:r>
        <w:t xml:space="preserve">can be </w:t>
      </w:r>
      <w:r w:rsidR="00410047">
        <w:t>applied</w:t>
      </w:r>
      <w:r>
        <w:t>.</w:t>
      </w:r>
      <w:r w:rsidR="0050500A">
        <w:t xml:space="preserve"> </w:t>
      </w:r>
    </w:p>
    <w:p w14:paraId="53B9E771" w14:textId="264AD567" w:rsidR="006E472A" w:rsidRDefault="0050500A" w:rsidP="006E472A">
      <w:pPr>
        <w:spacing w:beforeLines="50" w:before="120"/>
      </w:pPr>
      <w:r>
        <w:t xml:space="preserve">There are two ways </w:t>
      </w:r>
      <w:r w:rsidR="0088183A">
        <w:t xml:space="preserve">to support the FDM enhancement of scenario 1-1 in scenario 1-2 </w:t>
      </w:r>
      <w:r>
        <w:t>depending upon whether</w:t>
      </w:r>
      <w:r w:rsidRPr="0050500A">
        <w:t xml:space="preserve"> SRB3 is configured</w:t>
      </w:r>
      <w:r w:rsidR="00A96D4C">
        <w:t xml:space="preserve"> </w:t>
      </w:r>
      <w:r w:rsidR="0088183A">
        <w:t xml:space="preserve">or not </w:t>
      </w:r>
      <w:r w:rsidR="00A96D4C">
        <w:t xml:space="preserve">as shown in Figure </w:t>
      </w:r>
      <w:r w:rsidR="00F23172">
        <w:t>3</w:t>
      </w:r>
      <w:r>
        <w:t>.</w:t>
      </w:r>
    </w:p>
    <w:p w14:paraId="5C70363E" w14:textId="57DDCC8D" w:rsidR="001F6A63" w:rsidRDefault="001F6A63" w:rsidP="0050500A">
      <w:pPr>
        <w:spacing w:beforeLines="50" w:before="120"/>
        <w:rPr>
          <w:b/>
        </w:rPr>
      </w:pPr>
    </w:p>
    <w:p w14:paraId="72FD29DE" w14:textId="2FEBB42D" w:rsidR="001F6A63" w:rsidRDefault="001F6A63" w:rsidP="0050500A">
      <w:pPr>
        <w:spacing w:beforeLines="50" w:before="120"/>
        <w:rPr>
          <w:b/>
        </w:rPr>
      </w:pPr>
      <w:r>
        <w:rPr>
          <w:b/>
          <w:noProof/>
        </w:rPr>
        <w:drawing>
          <wp:inline distT="0" distB="0" distL="0" distR="0" wp14:anchorId="011B7AC8" wp14:editId="21EB9552">
            <wp:extent cx="6382864" cy="1660387"/>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552" cy="1675654"/>
                    </a:xfrm>
                    <a:prstGeom prst="rect">
                      <a:avLst/>
                    </a:prstGeom>
                    <a:noFill/>
                  </pic:spPr>
                </pic:pic>
              </a:graphicData>
            </a:graphic>
          </wp:inline>
        </w:drawing>
      </w:r>
    </w:p>
    <w:p w14:paraId="313C59CB" w14:textId="609A6A24" w:rsidR="00A96D4C" w:rsidRDefault="00A96D4C" w:rsidP="001F6A63">
      <w:pPr>
        <w:pStyle w:val="Caption"/>
        <w:jc w:val="center"/>
        <w:rPr>
          <w:b w:val="0"/>
        </w:rPr>
      </w:pPr>
      <w:r>
        <w:t xml:space="preserve">Figure </w:t>
      </w:r>
      <w:r w:rsidR="00F23172">
        <w:t>3</w:t>
      </w:r>
      <w:r>
        <w:t xml:space="preserve"> - Enhanced </w:t>
      </w:r>
      <w:r w:rsidRPr="00511B99">
        <w:t>IDC</w:t>
      </w:r>
      <w:r>
        <w:t xml:space="preserve"> configuration from SN and UE </w:t>
      </w:r>
      <w:r w:rsidR="001F6A63">
        <w:t>r</w:t>
      </w:r>
      <w:r>
        <w:t xml:space="preserve">eporting to SN </w:t>
      </w:r>
    </w:p>
    <w:p w14:paraId="66E3AC27" w14:textId="5061BD98" w:rsidR="00A96D4C" w:rsidRPr="0050500A" w:rsidRDefault="00A96D4C" w:rsidP="0050500A">
      <w:pPr>
        <w:spacing w:beforeLines="50" w:before="120"/>
      </w:pPr>
      <w:r>
        <w:rPr>
          <w:b/>
        </w:rPr>
        <w:t xml:space="preserve">Case 1 - </w:t>
      </w:r>
      <w:r w:rsidR="0050500A" w:rsidRPr="0050500A">
        <w:rPr>
          <w:b/>
        </w:rPr>
        <w:t xml:space="preserve">SRB3 is not </w:t>
      </w:r>
      <w:r w:rsidR="001F6A63" w:rsidRPr="0050500A">
        <w:rPr>
          <w:b/>
        </w:rPr>
        <w:t>configured</w:t>
      </w:r>
      <w:r w:rsidR="001F6A63">
        <w:rPr>
          <w:b/>
        </w:rPr>
        <w:t xml:space="preserve">: </w:t>
      </w:r>
      <w:r w:rsidR="0050500A" w:rsidRPr="0050500A">
        <w:t xml:space="preserve">SN configures the </w:t>
      </w:r>
      <w:r w:rsidR="001F6A63">
        <w:t xml:space="preserve">enhanced </w:t>
      </w:r>
      <w:r w:rsidR="0050500A" w:rsidRPr="0050500A">
        <w:t>IDC related configuration via SRB1</w:t>
      </w:r>
      <w:r w:rsidR="00DF79AA">
        <w:t xml:space="preserve"> </w:t>
      </w:r>
      <w:r w:rsidR="003B3FEC">
        <w:t>by using the RRCReconfiguration container</w:t>
      </w:r>
      <w:r w:rsidR="0050500A" w:rsidRPr="0050500A">
        <w:t xml:space="preserve"> to the UE and UE reports the </w:t>
      </w:r>
      <w:r w:rsidR="001F6A63">
        <w:t xml:space="preserve">enhanced </w:t>
      </w:r>
      <w:r w:rsidR="0050500A" w:rsidRPr="0050500A">
        <w:t xml:space="preserve">IDC assistance information via SRB1, </w:t>
      </w:r>
      <w:r w:rsidRPr="00A96D4C">
        <w:t xml:space="preserve">i.e. by reporting </w:t>
      </w:r>
      <w:r w:rsidRPr="001F6A63">
        <w:t xml:space="preserve">UAI </w:t>
      </w:r>
      <w:r w:rsidRPr="00A96D4C">
        <w:t xml:space="preserve">in the </w:t>
      </w:r>
      <w:r w:rsidRPr="001F6A63">
        <w:rPr>
          <w:i/>
        </w:rPr>
        <w:t>ULInformationTransferMRDC</w:t>
      </w:r>
      <w:r w:rsidRPr="00A96D4C">
        <w:t xml:space="preserve"> message</w:t>
      </w:r>
      <w:r>
        <w:t xml:space="preserve"> which is then transferred to SN using RRCTransfer message</w:t>
      </w:r>
    </w:p>
    <w:p w14:paraId="5F2027F7" w14:textId="4883B1AA" w:rsidR="0050500A" w:rsidRDefault="00A96D4C" w:rsidP="0050500A">
      <w:pPr>
        <w:spacing w:beforeLines="50" w:before="120"/>
      </w:pPr>
      <w:r>
        <w:rPr>
          <w:b/>
        </w:rPr>
        <w:t xml:space="preserve">Case 2 - </w:t>
      </w:r>
      <w:r w:rsidR="0050500A" w:rsidRPr="0050500A">
        <w:rPr>
          <w:b/>
        </w:rPr>
        <w:t xml:space="preserve">SRB3 is </w:t>
      </w:r>
      <w:r w:rsidR="001F6A63" w:rsidRPr="0050500A">
        <w:rPr>
          <w:b/>
        </w:rPr>
        <w:t>configured</w:t>
      </w:r>
      <w:r w:rsidR="001F6A63">
        <w:rPr>
          <w:b/>
        </w:rPr>
        <w:t xml:space="preserve">: </w:t>
      </w:r>
      <w:r w:rsidR="0050500A" w:rsidRPr="0050500A">
        <w:t xml:space="preserve">SN configures the </w:t>
      </w:r>
      <w:r w:rsidR="001F6A63">
        <w:t xml:space="preserve">enhanced </w:t>
      </w:r>
      <w:r w:rsidR="0050500A" w:rsidRPr="0050500A">
        <w:t xml:space="preserve">IDC related configuration </w:t>
      </w:r>
      <w:r w:rsidR="001F6A63" w:rsidRPr="0050500A">
        <w:t xml:space="preserve">to the UE </w:t>
      </w:r>
      <w:r w:rsidR="0050500A" w:rsidRPr="0050500A">
        <w:t xml:space="preserve">via SRB3 and UE reports the IDC assistance information </w:t>
      </w:r>
      <w:r>
        <w:t xml:space="preserve">directly </w:t>
      </w:r>
      <w:r w:rsidR="0050500A" w:rsidRPr="0050500A">
        <w:t>via SRB3</w:t>
      </w:r>
    </w:p>
    <w:p w14:paraId="1B25FBD8" w14:textId="084D7DEE" w:rsidR="0050500A" w:rsidRDefault="0088183A" w:rsidP="009A4433">
      <w:pPr>
        <w:spacing w:beforeLines="50" w:before="120" w:after="240"/>
      </w:pPr>
      <w:r>
        <w:rPr>
          <w:rFonts w:hint="eastAsia"/>
        </w:rPr>
        <w:t>B</w:t>
      </w:r>
      <w:r>
        <w:t xml:space="preserve">y using these </w:t>
      </w:r>
      <w:r w:rsidR="00DF79AA">
        <w:t>signaling procedures</w:t>
      </w:r>
      <w:r>
        <w:t>, we can avoid further specification impact on top of the FDM solution for scenario 1-1, especially avoid impact to 36.331 in case of EN-DC.</w:t>
      </w:r>
    </w:p>
    <w:p w14:paraId="10A20B6F" w14:textId="2EA16440" w:rsidR="001F6A63" w:rsidRPr="009A4433" w:rsidRDefault="001F6A63" w:rsidP="009A4433">
      <w:pPr>
        <w:rPr>
          <w:b/>
          <w:szCs w:val="21"/>
        </w:rPr>
      </w:pPr>
      <w:r w:rsidRPr="009A4433">
        <w:rPr>
          <w:b/>
          <w:szCs w:val="21"/>
        </w:rPr>
        <w:lastRenderedPageBreak/>
        <w:t xml:space="preserve">Proposal </w:t>
      </w:r>
      <w:r w:rsidR="0044553D" w:rsidRPr="009A4433">
        <w:rPr>
          <w:b/>
          <w:szCs w:val="21"/>
        </w:rPr>
        <w:t>6</w:t>
      </w:r>
      <w:r w:rsidRPr="009A4433">
        <w:rPr>
          <w:b/>
          <w:szCs w:val="21"/>
        </w:rPr>
        <w:t>:</w:t>
      </w:r>
      <w:r w:rsidR="0088183A" w:rsidRPr="009A4433">
        <w:rPr>
          <w:b/>
          <w:szCs w:val="21"/>
        </w:rPr>
        <w:t xml:space="preserve"> To support the FDM enhancement as in Proposal </w:t>
      </w:r>
      <w:r w:rsidR="00F23172" w:rsidRPr="009A4433">
        <w:rPr>
          <w:b/>
          <w:szCs w:val="21"/>
        </w:rPr>
        <w:t>3</w:t>
      </w:r>
      <w:r w:rsidR="0088183A" w:rsidRPr="009A4433">
        <w:rPr>
          <w:b/>
          <w:szCs w:val="21"/>
        </w:rPr>
        <w:t xml:space="preserve"> and </w:t>
      </w:r>
      <w:r w:rsidR="00F23172" w:rsidRPr="009A4433">
        <w:rPr>
          <w:b/>
          <w:szCs w:val="21"/>
        </w:rPr>
        <w:t>4</w:t>
      </w:r>
      <w:r w:rsidR="0088183A" w:rsidRPr="009A4433">
        <w:rPr>
          <w:b/>
          <w:szCs w:val="21"/>
        </w:rPr>
        <w:t xml:space="preserve"> for scenario 1-2,</w:t>
      </w:r>
      <w:r w:rsidR="00C50F15" w:rsidRPr="009A4433">
        <w:rPr>
          <w:b/>
          <w:szCs w:val="21"/>
        </w:rPr>
        <w:t xml:space="preserve"> </w:t>
      </w:r>
    </w:p>
    <w:p w14:paraId="339D5972" w14:textId="6F16730D" w:rsidR="001F6A63" w:rsidRPr="009A4433" w:rsidRDefault="00C50F15" w:rsidP="009A4433">
      <w:pPr>
        <w:pStyle w:val="ListParagraph"/>
        <w:numPr>
          <w:ilvl w:val="0"/>
          <w:numId w:val="18"/>
        </w:numPr>
        <w:spacing w:after="0" w:afterAutospacing="0"/>
        <w:ind w:leftChars="0"/>
        <w:rPr>
          <w:b/>
          <w:sz w:val="21"/>
          <w:szCs w:val="21"/>
        </w:rPr>
      </w:pPr>
      <w:r w:rsidRPr="009A4433">
        <w:rPr>
          <w:b/>
          <w:sz w:val="21"/>
          <w:szCs w:val="21"/>
        </w:rPr>
        <w:t>I</w:t>
      </w:r>
      <w:r w:rsidR="001F6A63" w:rsidRPr="009A4433">
        <w:rPr>
          <w:b/>
          <w:sz w:val="21"/>
          <w:szCs w:val="21"/>
        </w:rPr>
        <w:t>f SRB3 is not configured</w:t>
      </w:r>
      <w:r w:rsidR="003B3FEC" w:rsidRPr="009A4433">
        <w:rPr>
          <w:b/>
          <w:sz w:val="21"/>
          <w:szCs w:val="21"/>
        </w:rPr>
        <w:t xml:space="preserve">: SN configures the enhanced IDC related configuration </w:t>
      </w:r>
      <w:r w:rsidR="00A476B0" w:rsidRPr="009A4433">
        <w:rPr>
          <w:b/>
          <w:sz w:val="21"/>
          <w:szCs w:val="21"/>
        </w:rPr>
        <w:t xml:space="preserve">as </w:t>
      </w:r>
      <w:r w:rsidR="00350E67" w:rsidRPr="009A4433">
        <w:rPr>
          <w:b/>
          <w:sz w:val="21"/>
          <w:szCs w:val="21"/>
        </w:rPr>
        <w:t xml:space="preserve">given </w:t>
      </w:r>
      <w:r w:rsidR="00A476B0" w:rsidRPr="009A4433">
        <w:rPr>
          <w:b/>
          <w:sz w:val="21"/>
          <w:szCs w:val="21"/>
        </w:rPr>
        <w:t xml:space="preserve">in proposal </w:t>
      </w:r>
      <w:r w:rsidR="00F23172" w:rsidRPr="009A4433">
        <w:rPr>
          <w:b/>
          <w:sz w:val="21"/>
          <w:szCs w:val="21"/>
        </w:rPr>
        <w:t>3</w:t>
      </w:r>
      <w:r w:rsidR="00A476B0" w:rsidRPr="009A4433">
        <w:rPr>
          <w:b/>
          <w:sz w:val="21"/>
          <w:szCs w:val="21"/>
        </w:rPr>
        <w:t xml:space="preserve"> </w:t>
      </w:r>
      <w:r w:rsidR="003B3FEC" w:rsidRPr="009A4433">
        <w:rPr>
          <w:b/>
          <w:sz w:val="21"/>
          <w:szCs w:val="21"/>
        </w:rPr>
        <w:t xml:space="preserve">via SRB1 by using the RRCReconfiguration container to the UE, and </w:t>
      </w:r>
      <w:r w:rsidR="001F6A63" w:rsidRPr="009A4433">
        <w:rPr>
          <w:b/>
          <w:sz w:val="21"/>
          <w:szCs w:val="21"/>
        </w:rPr>
        <w:t>UE reports the IDC assistance information with more granular</w:t>
      </w:r>
      <w:r w:rsidRPr="009A4433">
        <w:rPr>
          <w:b/>
          <w:sz w:val="21"/>
          <w:szCs w:val="21"/>
        </w:rPr>
        <w:t>/enhanced</w:t>
      </w:r>
      <w:r w:rsidR="001F6A63" w:rsidRPr="009A4433">
        <w:rPr>
          <w:b/>
          <w:sz w:val="21"/>
          <w:szCs w:val="21"/>
        </w:rPr>
        <w:t xml:space="preserve"> FDM information </w:t>
      </w:r>
      <w:r w:rsidR="00A476B0" w:rsidRPr="009A4433">
        <w:rPr>
          <w:b/>
          <w:sz w:val="21"/>
          <w:szCs w:val="21"/>
        </w:rPr>
        <w:t xml:space="preserve">as </w:t>
      </w:r>
      <w:r w:rsidR="00350E67" w:rsidRPr="009A4433">
        <w:rPr>
          <w:b/>
          <w:sz w:val="21"/>
          <w:szCs w:val="21"/>
        </w:rPr>
        <w:t xml:space="preserve">given </w:t>
      </w:r>
      <w:r w:rsidR="00A476B0" w:rsidRPr="009A4433">
        <w:rPr>
          <w:b/>
          <w:sz w:val="21"/>
          <w:szCs w:val="21"/>
        </w:rPr>
        <w:t xml:space="preserve">in proposal </w:t>
      </w:r>
      <w:r w:rsidR="00F23172" w:rsidRPr="009A4433">
        <w:rPr>
          <w:b/>
          <w:sz w:val="21"/>
          <w:szCs w:val="21"/>
        </w:rPr>
        <w:t>4</w:t>
      </w:r>
      <w:r w:rsidR="00AC1258" w:rsidRPr="009A4433">
        <w:rPr>
          <w:b/>
          <w:sz w:val="21"/>
          <w:szCs w:val="21"/>
        </w:rPr>
        <w:t xml:space="preserve"> </w:t>
      </w:r>
      <w:r w:rsidR="003B3FEC" w:rsidRPr="009A4433">
        <w:rPr>
          <w:b/>
          <w:sz w:val="21"/>
          <w:szCs w:val="21"/>
        </w:rPr>
        <w:t xml:space="preserve">to </w:t>
      </w:r>
      <w:r w:rsidR="001F6A63" w:rsidRPr="009A4433">
        <w:rPr>
          <w:b/>
          <w:sz w:val="21"/>
          <w:szCs w:val="21"/>
        </w:rPr>
        <w:t>SN via SRB1 by reporting UAI in the ULInformationTransferMRDC message</w:t>
      </w:r>
    </w:p>
    <w:p w14:paraId="5737656E" w14:textId="61DECEB6" w:rsidR="001F6A63" w:rsidRPr="00C728BC" w:rsidRDefault="001F6A63" w:rsidP="009A4433">
      <w:pPr>
        <w:pStyle w:val="ListParagraph"/>
        <w:numPr>
          <w:ilvl w:val="0"/>
          <w:numId w:val="18"/>
        </w:numPr>
        <w:spacing w:after="0" w:afterAutospacing="0"/>
        <w:ind w:leftChars="0"/>
        <w:rPr>
          <w:b/>
          <w:szCs w:val="22"/>
        </w:rPr>
      </w:pPr>
      <w:r w:rsidRPr="009A4433">
        <w:rPr>
          <w:b/>
          <w:sz w:val="21"/>
          <w:szCs w:val="21"/>
        </w:rPr>
        <w:t>if SRB3 is configured</w:t>
      </w:r>
      <w:r w:rsidR="003B3FEC" w:rsidRPr="009A4433">
        <w:rPr>
          <w:b/>
          <w:sz w:val="21"/>
          <w:szCs w:val="21"/>
        </w:rPr>
        <w:t>:</w:t>
      </w:r>
      <w:r w:rsidRPr="009A4433">
        <w:rPr>
          <w:b/>
          <w:sz w:val="21"/>
          <w:szCs w:val="21"/>
        </w:rPr>
        <w:t xml:space="preserve"> </w:t>
      </w:r>
      <w:r w:rsidR="003B3FEC" w:rsidRPr="009A4433">
        <w:rPr>
          <w:b/>
          <w:sz w:val="21"/>
          <w:szCs w:val="21"/>
        </w:rPr>
        <w:t xml:space="preserve">SN configures the enhanced IDC related configuration </w:t>
      </w:r>
      <w:r w:rsidR="00A476B0" w:rsidRPr="009A4433">
        <w:rPr>
          <w:b/>
          <w:sz w:val="21"/>
          <w:szCs w:val="21"/>
        </w:rPr>
        <w:t xml:space="preserve">as </w:t>
      </w:r>
      <w:r w:rsidR="00350E67" w:rsidRPr="009A4433">
        <w:rPr>
          <w:b/>
          <w:sz w:val="21"/>
          <w:szCs w:val="21"/>
        </w:rPr>
        <w:t xml:space="preserve">given </w:t>
      </w:r>
      <w:r w:rsidR="00A476B0" w:rsidRPr="009A4433">
        <w:rPr>
          <w:b/>
          <w:sz w:val="21"/>
          <w:szCs w:val="21"/>
        </w:rPr>
        <w:t xml:space="preserve">in proposal </w:t>
      </w:r>
      <w:r w:rsidR="00F23172" w:rsidRPr="009A4433">
        <w:rPr>
          <w:b/>
          <w:sz w:val="21"/>
          <w:szCs w:val="21"/>
        </w:rPr>
        <w:t>3</w:t>
      </w:r>
      <w:r w:rsidR="00A476B0" w:rsidRPr="009A4433">
        <w:rPr>
          <w:b/>
          <w:sz w:val="21"/>
          <w:szCs w:val="21"/>
        </w:rPr>
        <w:t xml:space="preserve"> </w:t>
      </w:r>
      <w:r w:rsidR="003B3FEC" w:rsidRPr="009A4433">
        <w:rPr>
          <w:b/>
          <w:sz w:val="21"/>
          <w:szCs w:val="21"/>
        </w:rPr>
        <w:t xml:space="preserve">to the UE via SRB3, and </w:t>
      </w:r>
      <w:r w:rsidRPr="009A4433">
        <w:rPr>
          <w:b/>
          <w:sz w:val="21"/>
          <w:szCs w:val="21"/>
        </w:rPr>
        <w:t>UE reports the IDC assistance information with more</w:t>
      </w:r>
      <w:r w:rsidR="00AC1258" w:rsidRPr="009A4433">
        <w:rPr>
          <w:b/>
          <w:sz w:val="21"/>
          <w:szCs w:val="21"/>
        </w:rPr>
        <w:t xml:space="preserve"> </w:t>
      </w:r>
      <w:r w:rsidRPr="009A4433">
        <w:rPr>
          <w:b/>
          <w:sz w:val="21"/>
          <w:szCs w:val="21"/>
        </w:rPr>
        <w:t>granular</w:t>
      </w:r>
      <w:r w:rsidR="00C50F15" w:rsidRPr="009A4433">
        <w:rPr>
          <w:b/>
          <w:sz w:val="21"/>
          <w:szCs w:val="21"/>
        </w:rPr>
        <w:t>/enhanced</w:t>
      </w:r>
      <w:r w:rsidRPr="009A4433">
        <w:rPr>
          <w:b/>
          <w:sz w:val="21"/>
          <w:szCs w:val="21"/>
        </w:rPr>
        <w:t xml:space="preserve"> FDM information </w:t>
      </w:r>
      <w:r w:rsidR="00A476B0" w:rsidRPr="009A4433">
        <w:rPr>
          <w:b/>
          <w:sz w:val="21"/>
          <w:szCs w:val="21"/>
        </w:rPr>
        <w:t xml:space="preserve">as </w:t>
      </w:r>
      <w:r w:rsidR="00350E67" w:rsidRPr="009A4433">
        <w:rPr>
          <w:b/>
          <w:sz w:val="21"/>
          <w:szCs w:val="21"/>
        </w:rPr>
        <w:t xml:space="preserve">given </w:t>
      </w:r>
      <w:r w:rsidR="00A476B0" w:rsidRPr="009A4433">
        <w:rPr>
          <w:b/>
          <w:sz w:val="21"/>
          <w:szCs w:val="21"/>
        </w:rPr>
        <w:t xml:space="preserve">in proposal </w:t>
      </w:r>
      <w:r w:rsidR="00F23172" w:rsidRPr="009A4433">
        <w:rPr>
          <w:b/>
          <w:sz w:val="21"/>
          <w:szCs w:val="21"/>
        </w:rPr>
        <w:t>4</w:t>
      </w:r>
      <w:r w:rsidR="00A476B0" w:rsidRPr="009A4433">
        <w:rPr>
          <w:b/>
          <w:sz w:val="21"/>
          <w:szCs w:val="21"/>
        </w:rPr>
        <w:t xml:space="preserve"> to </w:t>
      </w:r>
      <w:r w:rsidRPr="009A4433">
        <w:rPr>
          <w:b/>
          <w:sz w:val="21"/>
          <w:szCs w:val="21"/>
        </w:rPr>
        <w:t>SN via SRB3</w:t>
      </w:r>
    </w:p>
    <w:p w14:paraId="5497A667" w14:textId="1362C8F6" w:rsidR="001F6A63" w:rsidRDefault="001F6A63" w:rsidP="006E472A">
      <w:pPr>
        <w:spacing w:beforeLines="50" w:before="120"/>
      </w:pPr>
    </w:p>
    <w:p w14:paraId="4FC448F4" w14:textId="1FE4C9B6" w:rsidR="00F23172" w:rsidRDefault="00F23172" w:rsidP="009A4433">
      <w:pPr>
        <w:pStyle w:val="Heading"/>
      </w:pPr>
      <w:r w:rsidRPr="00AE4E23">
        <w:rPr>
          <w:b w:val="0"/>
          <w:sz w:val="32"/>
          <w:szCs w:val="32"/>
          <w:u w:val="none"/>
        </w:rPr>
        <w:t>2.</w:t>
      </w:r>
      <w:r>
        <w:rPr>
          <w:b w:val="0"/>
          <w:sz w:val="32"/>
          <w:szCs w:val="32"/>
          <w:u w:val="none"/>
        </w:rPr>
        <w:t>3</w:t>
      </w:r>
      <w:r w:rsidRPr="00AE4E23">
        <w:rPr>
          <w:b w:val="0"/>
          <w:sz w:val="32"/>
          <w:szCs w:val="32"/>
          <w:u w:val="none"/>
        </w:rPr>
        <w:t>.</w:t>
      </w:r>
      <w:r>
        <w:rPr>
          <w:b w:val="0"/>
          <w:sz w:val="32"/>
          <w:szCs w:val="32"/>
          <w:u w:val="none"/>
        </w:rPr>
        <w:t>3</w:t>
      </w:r>
      <w:r w:rsidRPr="00AE4E23">
        <w:rPr>
          <w:b w:val="0"/>
          <w:sz w:val="32"/>
          <w:szCs w:val="32"/>
          <w:u w:val="none"/>
        </w:rPr>
        <w:t xml:space="preserve"> </w:t>
      </w:r>
      <w:r w:rsidRPr="003011EF">
        <w:rPr>
          <w:b w:val="0"/>
          <w:sz w:val="32"/>
          <w:szCs w:val="32"/>
          <w:u w:val="none"/>
        </w:rPr>
        <w:t xml:space="preserve">FDM Enhancement for </w:t>
      </w:r>
      <w:r w:rsidRPr="00F23172">
        <w:rPr>
          <w:b w:val="0"/>
          <w:sz w:val="32"/>
          <w:szCs w:val="32"/>
          <w:u w:val="none"/>
        </w:rPr>
        <w:t>Scenario 2-1</w:t>
      </w:r>
      <w:r w:rsidRPr="003011EF">
        <w:rPr>
          <w:b w:val="0"/>
          <w:sz w:val="32"/>
          <w:szCs w:val="32"/>
          <w:u w:val="none"/>
        </w:rPr>
        <w:t xml:space="preserve"> </w:t>
      </w:r>
      <w:r>
        <w:rPr>
          <w:b w:val="0"/>
          <w:sz w:val="32"/>
          <w:szCs w:val="32"/>
          <w:u w:val="none"/>
        </w:rPr>
        <w:t xml:space="preserve"> </w:t>
      </w:r>
    </w:p>
    <w:p w14:paraId="20F3373E" w14:textId="39BC90CA" w:rsidR="00B67CBD" w:rsidRDefault="00136176" w:rsidP="00410047">
      <w:r>
        <w:rPr>
          <w:lang w:val="en-GB"/>
        </w:rPr>
        <w:t xml:space="preserve">For the EN-DC, Figure </w:t>
      </w:r>
      <w:r w:rsidR="0044553D">
        <w:rPr>
          <w:lang w:val="en-GB"/>
        </w:rPr>
        <w:t>4</w:t>
      </w:r>
      <w:r>
        <w:rPr>
          <w:lang w:val="en-GB"/>
        </w:rPr>
        <w:t xml:space="preserve"> shows the involved procedures for the current FDM solution. </w:t>
      </w:r>
      <w:r w:rsidR="00A9102B">
        <w:t>For the scenario 2-1, the same enhancements for the Scenario 1-1 described above can be applied</w:t>
      </w:r>
      <w:r>
        <w:t xml:space="preserve"> </w:t>
      </w:r>
      <w:r w:rsidR="00E32DF1">
        <w:t>on top of</w:t>
      </w:r>
      <w:r>
        <w:t xml:space="preserve"> the current procedures</w:t>
      </w:r>
      <w:r w:rsidR="00E32DF1">
        <w:t xml:space="preserve"> shown in Figure </w:t>
      </w:r>
      <w:r w:rsidR="0044553D">
        <w:t>4</w:t>
      </w:r>
      <w:r w:rsidR="00DE0A3A">
        <w:t xml:space="preserve">. </w:t>
      </w:r>
      <w:r>
        <w:t>To be specific</w:t>
      </w:r>
      <w:r w:rsidR="00DE0A3A">
        <w:t>:</w:t>
      </w:r>
    </w:p>
    <w:p w14:paraId="5628F7DB" w14:textId="5D155F9A" w:rsidR="00A476B0" w:rsidRPr="009A4433" w:rsidRDefault="00A476B0" w:rsidP="00AC1258">
      <w:pPr>
        <w:pStyle w:val="ListParagraph"/>
        <w:numPr>
          <w:ilvl w:val="0"/>
          <w:numId w:val="19"/>
        </w:numPr>
        <w:ind w:leftChars="0"/>
        <w:rPr>
          <w:rFonts w:eastAsia="MS Mincho"/>
          <w:sz w:val="21"/>
          <w:szCs w:val="21"/>
          <w:lang w:eastAsia="ja-JP"/>
        </w:rPr>
      </w:pPr>
      <w:r w:rsidRPr="009A4433">
        <w:rPr>
          <w:rFonts w:eastAsiaTheme="minorEastAsia"/>
          <w:sz w:val="21"/>
          <w:szCs w:val="21"/>
        </w:rPr>
        <w:t xml:space="preserve">When the SN provide configurations for IDC to the MN via the CG-Config, </w:t>
      </w:r>
      <w:r w:rsidR="00F241F5" w:rsidRPr="009A4433">
        <w:rPr>
          <w:sz w:val="21"/>
          <w:szCs w:val="21"/>
        </w:rPr>
        <w:t xml:space="preserve">the SN includes the enhanced IDC related configuration as </w:t>
      </w:r>
      <w:r w:rsidR="00350E67" w:rsidRPr="009A4433">
        <w:rPr>
          <w:sz w:val="21"/>
          <w:szCs w:val="21"/>
        </w:rPr>
        <w:t xml:space="preserve">given </w:t>
      </w:r>
      <w:r w:rsidR="00F241F5" w:rsidRPr="009A4433">
        <w:rPr>
          <w:sz w:val="21"/>
          <w:szCs w:val="21"/>
        </w:rPr>
        <w:t xml:space="preserve">in proposal </w:t>
      </w:r>
      <w:r w:rsidR="0044553D" w:rsidRPr="009A4433">
        <w:rPr>
          <w:sz w:val="21"/>
          <w:szCs w:val="21"/>
        </w:rPr>
        <w:t>3</w:t>
      </w:r>
      <w:r w:rsidRPr="009A4433">
        <w:rPr>
          <w:rFonts w:eastAsiaTheme="minorEastAsia"/>
          <w:sz w:val="21"/>
          <w:szCs w:val="21"/>
        </w:rPr>
        <w:t>;</w:t>
      </w:r>
    </w:p>
    <w:p w14:paraId="2F566A3A" w14:textId="461C058E" w:rsidR="00A476B0" w:rsidRPr="009A4433" w:rsidRDefault="00A476B0" w:rsidP="00AC1258">
      <w:pPr>
        <w:pStyle w:val="ListParagraph"/>
        <w:numPr>
          <w:ilvl w:val="0"/>
          <w:numId w:val="19"/>
        </w:numPr>
        <w:ind w:leftChars="0"/>
        <w:rPr>
          <w:rFonts w:eastAsia="MS Mincho"/>
          <w:sz w:val="21"/>
          <w:szCs w:val="21"/>
          <w:lang w:eastAsia="ja-JP"/>
        </w:rPr>
      </w:pPr>
      <w:r w:rsidRPr="009A4433">
        <w:rPr>
          <w:rFonts w:eastAsiaTheme="minorEastAsia"/>
          <w:sz w:val="21"/>
          <w:szCs w:val="21"/>
        </w:rPr>
        <w:t xml:space="preserve">When the MN configures </w:t>
      </w:r>
      <w:proofErr w:type="spellStart"/>
      <w:r w:rsidRPr="009A4433">
        <w:rPr>
          <w:rFonts w:eastAsiaTheme="minorEastAsia"/>
          <w:i/>
          <w:sz w:val="21"/>
          <w:szCs w:val="21"/>
        </w:rPr>
        <w:t>otherConfig</w:t>
      </w:r>
      <w:proofErr w:type="spellEnd"/>
      <w:r w:rsidRPr="009A4433">
        <w:rPr>
          <w:rFonts w:eastAsiaTheme="minorEastAsia"/>
          <w:sz w:val="21"/>
          <w:szCs w:val="21"/>
        </w:rPr>
        <w:t xml:space="preserve"> for the IDC to the UE, the MN includes the above information provided by the SN in the CG-Config for IDC</w:t>
      </w:r>
    </w:p>
    <w:p w14:paraId="3C0E0588" w14:textId="09A42874" w:rsidR="00A476B0" w:rsidRPr="009A4433" w:rsidRDefault="00A476B0" w:rsidP="00AC1258">
      <w:pPr>
        <w:pStyle w:val="ListParagraph"/>
        <w:numPr>
          <w:ilvl w:val="0"/>
          <w:numId w:val="19"/>
        </w:numPr>
        <w:ind w:leftChars="0"/>
        <w:rPr>
          <w:rFonts w:eastAsia="MS Mincho"/>
          <w:sz w:val="21"/>
          <w:szCs w:val="21"/>
          <w:lang w:eastAsia="ja-JP"/>
        </w:rPr>
      </w:pPr>
      <w:r w:rsidRPr="009A4433">
        <w:rPr>
          <w:rFonts w:eastAsiaTheme="minorEastAsia"/>
          <w:sz w:val="21"/>
          <w:szCs w:val="21"/>
        </w:rPr>
        <w:t xml:space="preserve">When the UE detects the IDC issues for EN-DC, for the affected NR frequency, the UE </w:t>
      </w:r>
      <w:r w:rsidR="00F241F5" w:rsidRPr="009A4433">
        <w:rPr>
          <w:rFonts w:eastAsiaTheme="minorEastAsia"/>
          <w:sz w:val="21"/>
          <w:szCs w:val="21"/>
        </w:rPr>
        <w:t>report</w:t>
      </w:r>
      <w:r w:rsidRPr="009A4433">
        <w:rPr>
          <w:rFonts w:eastAsiaTheme="minorEastAsia"/>
          <w:sz w:val="21"/>
          <w:szCs w:val="21"/>
        </w:rPr>
        <w:t>s</w:t>
      </w:r>
      <w:r w:rsidR="00F241F5" w:rsidRPr="009A4433">
        <w:rPr>
          <w:rFonts w:eastAsiaTheme="minorEastAsia"/>
          <w:sz w:val="21"/>
          <w:szCs w:val="21"/>
        </w:rPr>
        <w:t xml:space="preserve"> the </w:t>
      </w:r>
      <w:r w:rsidR="00F241F5" w:rsidRPr="009A4433">
        <w:rPr>
          <w:sz w:val="21"/>
          <w:szCs w:val="21"/>
        </w:rPr>
        <w:t xml:space="preserve">IDC assistance information with more granular/enhanced FDM information as </w:t>
      </w:r>
      <w:r w:rsidR="00350E67" w:rsidRPr="009A4433">
        <w:rPr>
          <w:sz w:val="21"/>
          <w:szCs w:val="21"/>
        </w:rPr>
        <w:t xml:space="preserve">given </w:t>
      </w:r>
      <w:r w:rsidR="00F241F5" w:rsidRPr="009A4433">
        <w:rPr>
          <w:sz w:val="21"/>
          <w:szCs w:val="21"/>
        </w:rPr>
        <w:t xml:space="preserve">in proposal </w:t>
      </w:r>
      <w:r w:rsidR="0044553D" w:rsidRPr="009A4433">
        <w:rPr>
          <w:sz w:val="21"/>
          <w:szCs w:val="21"/>
        </w:rPr>
        <w:t>4</w:t>
      </w:r>
      <w:r w:rsidR="00176D00" w:rsidRPr="009A4433">
        <w:rPr>
          <w:sz w:val="21"/>
          <w:szCs w:val="21"/>
        </w:rPr>
        <w:t xml:space="preserve"> to the MN;</w:t>
      </w:r>
    </w:p>
    <w:p w14:paraId="6B422F9E" w14:textId="0B318180" w:rsidR="002318FA" w:rsidRPr="00141906" w:rsidRDefault="00176D00" w:rsidP="00AC1258">
      <w:pPr>
        <w:pStyle w:val="ListParagraph"/>
        <w:numPr>
          <w:ilvl w:val="0"/>
          <w:numId w:val="19"/>
        </w:numPr>
        <w:ind w:leftChars="0"/>
        <w:rPr>
          <w:rFonts w:eastAsia="MS Mincho"/>
          <w:lang w:eastAsia="ja-JP"/>
        </w:rPr>
      </w:pPr>
      <w:r w:rsidRPr="009A4433">
        <w:rPr>
          <w:rFonts w:eastAsiaTheme="minorEastAsia" w:hint="eastAsia"/>
          <w:sz w:val="21"/>
          <w:szCs w:val="21"/>
        </w:rPr>
        <w:t>T</w:t>
      </w:r>
      <w:r w:rsidRPr="009A4433">
        <w:rPr>
          <w:rFonts w:eastAsiaTheme="minorEastAsia"/>
          <w:sz w:val="21"/>
          <w:szCs w:val="21"/>
        </w:rPr>
        <w:t>he MN transfer the IDC assistance information for EN-DC to the SN by initiating the SN modification procedure and include the information that th</w:t>
      </w:r>
      <w:r w:rsidR="001753DA" w:rsidRPr="009A4433">
        <w:rPr>
          <w:rFonts w:eastAsiaTheme="minorEastAsia"/>
          <w:sz w:val="21"/>
          <w:szCs w:val="21"/>
        </w:rPr>
        <w:t>e UE reports as above in the CG-</w:t>
      </w:r>
      <w:proofErr w:type="spellStart"/>
      <w:r w:rsidR="001753DA" w:rsidRPr="009A4433">
        <w:rPr>
          <w:rFonts w:eastAsiaTheme="minorEastAsia"/>
          <w:sz w:val="21"/>
          <w:szCs w:val="21"/>
        </w:rPr>
        <w:t>ConfigInfo</w:t>
      </w:r>
      <w:proofErr w:type="spellEnd"/>
    </w:p>
    <w:p w14:paraId="50B57AED" w14:textId="073E49CC" w:rsidR="00141906" w:rsidRPr="008E68A3" w:rsidRDefault="00141906" w:rsidP="00141906">
      <w:pPr>
        <w:pStyle w:val="Caption"/>
        <w:numPr>
          <w:ilvl w:val="0"/>
          <w:numId w:val="19"/>
        </w:numPr>
        <w:jc w:val="center"/>
        <w:rPr>
          <w:rFonts w:ascii="Arial" w:hAnsi="Arial" w:cs="Arial"/>
          <w:sz w:val="16"/>
          <w:szCs w:val="16"/>
        </w:rPr>
      </w:pPr>
    </w:p>
    <w:p w14:paraId="0541CF50" w14:textId="6EBAC46F" w:rsidR="00141906" w:rsidRDefault="008E68A3" w:rsidP="00141906">
      <w:pPr>
        <w:pStyle w:val="ListParagraph"/>
        <w:ind w:leftChars="0" w:left="420" w:firstLine="0"/>
        <w:rPr>
          <w:rFonts w:eastAsia="MS Mincho"/>
          <w:lang w:eastAsia="ja-JP"/>
        </w:rPr>
      </w:pPr>
      <w:r w:rsidRPr="008E68A3">
        <w:rPr>
          <w:rFonts w:ascii="Arial" w:hAnsi="Arial" w:cs="Arial"/>
          <w:noProof/>
          <w:sz w:val="16"/>
          <w:szCs w:val="16"/>
        </w:rPr>
        <mc:AlternateContent>
          <mc:Choice Requires="wpg">
            <w:drawing>
              <wp:anchor distT="0" distB="0" distL="114300" distR="114300" simplePos="0" relativeHeight="251659264" behindDoc="0" locked="0" layoutInCell="1" allowOverlap="1" wp14:anchorId="5D39B003" wp14:editId="60C65032">
                <wp:simplePos x="0" y="0"/>
                <wp:positionH relativeFrom="margin">
                  <wp:posOffset>334010</wp:posOffset>
                </wp:positionH>
                <wp:positionV relativeFrom="paragraph">
                  <wp:posOffset>247015</wp:posOffset>
                </wp:positionV>
                <wp:extent cx="5389880" cy="1981200"/>
                <wp:effectExtent l="0" t="0" r="20320" b="38100"/>
                <wp:wrapNone/>
                <wp:docPr id="20" name="Group 20"/>
                <wp:cNvGraphicFramePr/>
                <a:graphic xmlns:a="http://schemas.openxmlformats.org/drawingml/2006/main">
                  <a:graphicData uri="http://schemas.microsoft.com/office/word/2010/wordprocessingGroup">
                    <wpg:wgp>
                      <wpg:cNvGrpSpPr/>
                      <wpg:grpSpPr>
                        <a:xfrm>
                          <a:off x="0" y="0"/>
                          <a:ext cx="5389880" cy="1981200"/>
                          <a:chOff x="0" y="0"/>
                          <a:chExt cx="6025376" cy="2569857"/>
                        </a:xfrm>
                      </wpg:grpSpPr>
                      <wps:wsp>
                        <wps:cNvPr id="2" name="矩形 2">
                          <a:extLst>
                            <a:ext uri="{FF2B5EF4-FFF2-40B4-BE49-F238E27FC236}">
                              <a16:creationId xmlns:a16="http://schemas.microsoft.com/office/drawing/2014/main" id="{54F269CA-DFBB-4974-8D48-8F19A2DCED0B}"/>
                            </a:ext>
                          </a:extLst>
                        </wps:cNvPr>
                        <wps:cNvSpPr/>
                        <wps:spPr bwMode="auto">
                          <a:xfrm>
                            <a:off x="0" y="0"/>
                            <a:ext cx="856476" cy="284922"/>
                          </a:xfrm>
                          <a:prstGeom prst="rect">
                            <a:avLst/>
                          </a:prstGeom>
                          <a:solidFill>
                            <a:srgbClr val="FFFFFF"/>
                          </a:solidFill>
                          <a:ln w="12700" cap="flat" cmpd="sng" algn="ctr">
                            <a:solidFill>
                              <a:srgbClr val="000000"/>
                            </a:solidFill>
                            <a:prstDash val="solid"/>
                          </a:ln>
                          <a:effectLst/>
                        </wps:spPr>
                        <wps:txbx>
                          <w:txbxContent>
                            <w:p w14:paraId="1163BD26"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UE</w:t>
                              </w:r>
                            </w:p>
                          </w:txbxContent>
                        </wps:txbx>
                        <wps:bodyPr anchor="ctr"/>
                      </wps:wsp>
                      <wps:wsp>
                        <wps:cNvPr id="3" name="矩形 10">
                          <a:extLst>
                            <a:ext uri="{FF2B5EF4-FFF2-40B4-BE49-F238E27FC236}">
                              <a16:creationId xmlns:a16="http://schemas.microsoft.com/office/drawing/2014/main" id="{B198E4C3-DA72-447C-87B9-1F04989882BB}"/>
                            </a:ext>
                          </a:extLst>
                        </wps:cNvPr>
                        <wps:cNvSpPr/>
                        <wps:spPr bwMode="auto">
                          <a:xfrm>
                            <a:off x="2597150" y="0"/>
                            <a:ext cx="856476" cy="284922"/>
                          </a:xfrm>
                          <a:prstGeom prst="rect">
                            <a:avLst/>
                          </a:prstGeom>
                          <a:solidFill>
                            <a:srgbClr val="FFFFFF"/>
                          </a:solidFill>
                          <a:ln w="12700" cap="flat" cmpd="sng" algn="ctr">
                            <a:solidFill>
                              <a:srgbClr val="000000"/>
                            </a:solidFill>
                            <a:prstDash val="solid"/>
                          </a:ln>
                          <a:effectLst/>
                        </wps:spPr>
                        <wps:txbx>
                          <w:txbxContent>
                            <w:p w14:paraId="3A5C2150"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MN</w:t>
                              </w:r>
                            </w:p>
                          </w:txbxContent>
                        </wps:txbx>
                        <wps:bodyPr anchor="ctr"/>
                      </wps:wsp>
                      <wps:wsp>
                        <wps:cNvPr id="4" name="矩形 11">
                          <a:extLst>
                            <a:ext uri="{FF2B5EF4-FFF2-40B4-BE49-F238E27FC236}">
                              <a16:creationId xmlns:a16="http://schemas.microsoft.com/office/drawing/2014/main" id="{21CBEB9C-7C42-45EB-8419-158077FBA6AD}"/>
                            </a:ext>
                          </a:extLst>
                        </wps:cNvPr>
                        <wps:cNvSpPr/>
                        <wps:spPr bwMode="auto">
                          <a:xfrm>
                            <a:off x="5168900" y="0"/>
                            <a:ext cx="856476" cy="286497"/>
                          </a:xfrm>
                          <a:prstGeom prst="rect">
                            <a:avLst/>
                          </a:prstGeom>
                          <a:solidFill>
                            <a:srgbClr val="FFFFFF"/>
                          </a:solidFill>
                          <a:ln w="12700" cap="flat" cmpd="sng" algn="ctr">
                            <a:solidFill>
                              <a:srgbClr val="000000"/>
                            </a:solidFill>
                            <a:prstDash val="solid"/>
                          </a:ln>
                          <a:effectLst/>
                        </wps:spPr>
                        <wps:txbx>
                          <w:txbxContent>
                            <w:p w14:paraId="7B76D0FA"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SN</w:t>
                              </w:r>
                            </w:p>
                          </w:txbxContent>
                        </wps:txbx>
                        <wps:bodyPr anchor="ctr"/>
                      </wps:wsp>
                      <wps:wsp>
                        <wps:cNvPr id="5" name="直接连接符 4">
                          <a:extLst>
                            <a:ext uri="{FF2B5EF4-FFF2-40B4-BE49-F238E27FC236}">
                              <a16:creationId xmlns:a16="http://schemas.microsoft.com/office/drawing/2014/main" id="{1CBA5E8C-1C3B-4C31-B1E3-F6EC1D0EDA98}"/>
                            </a:ext>
                          </a:extLst>
                        </wps:cNvPr>
                        <wps:cNvCnPr/>
                        <wps:spPr bwMode="auto">
                          <a:xfrm>
                            <a:off x="3028950" y="285750"/>
                            <a:ext cx="0" cy="2284107"/>
                          </a:xfrm>
                          <a:prstGeom prst="line">
                            <a:avLst/>
                          </a:prstGeom>
                          <a:noFill/>
                          <a:ln w="12700" cap="flat" cmpd="sng" algn="ctr">
                            <a:solidFill>
                              <a:srgbClr val="000000"/>
                            </a:solidFill>
                            <a:prstDash val="solid"/>
                          </a:ln>
                          <a:effectLst/>
                        </wps:spPr>
                        <wps:bodyPr/>
                      </wps:wsp>
                      <wps:wsp>
                        <wps:cNvPr id="6" name="直接连接符 14">
                          <a:extLst>
                            <a:ext uri="{FF2B5EF4-FFF2-40B4-BE49-F238E27FC236}">
                              <a16:creationId xmlns:a16="http://schemas.microsoft.com/office/drawing/2014/main" id="{79DF2493-1EE0-4BED-9DE2-AECD25E959EB}"/>
                            </a:ext>
                          </a:extLst>
                        </wps:cNvPr>
                        <wps:cNvCnPr/>
                        <wps:spPr bwMode="auto">
                          <a:xfrm>
                            <a:off x="5613400" y="285750"/>
                            <a:ext cx="0" cy="2284107"/>
                          </a:xfrm>
                          <a:prstGeom prst="line">
                            <a:avLst/>
                          </a:prstGeom>
                          <a:noFill/>
                          <a:ln w="12700" cap="flat" cmpd="sng" algn="ctr">
                            <a:solidFill>
                              <a:srgbClr val="000000"/>
                            </a:solidFill>
                            <a:prstDash val="solid"/>
                          </a:ln>
                          <a:effectLst/>
                        </wps:spPr>
                        <wps:bodyPr/>
                      </wps:wsp>
                      <wps:wsp>
                        <wps:cNvPr id="7" name="直接连接符 15">
                          <a:extLst>
                            <a:ext uri="{FF2B5EF4-FFF2-40B4-BE49-F238E27FC236}">
                              <a16:creationId xmlns:a16="http://schemas.microsoft.com/office/drawing/2014/main" id="{C775DDEA-A5C8-4060-8816-5FA8A6EF055B}"/>
                            </a:ext>
                          </a:extLst>
                        </wps:cNvPr>
                        <wps:cNvCnPr/>
                        <wps:spPr bwMode="auto">
                          <a:xfrm>
                            <a:off x="425450" y="285750"/>
                            <a:ext cx="0" cy="2284107"/>
                          </a:xfrm>
                          <a:prstGeom prst="line">
                            <a:avLst/>
                          </a:prstGeom>
                          <a:noFill/>
                          <a:ln w="12700" cap="flat" cmpd="sng" algn="ctr">
                            <a:solidFill>
                              <a:srgbClr val="000000"/>
                            </a:solidFill>
                            <a:prstDash val="solid"/>
                          </a:ln>
                          <a:effectLst/>
                        </wps:spPr>
                        <wps:bodyPr/>
                      </wps:wsp>
                      <wps:wsp>
                        <wps:cNvPr id="9" name="文本框 8">
                          <a:extLst>
                            <a:ext uri="{FF2B5EF4-FFF2-40B4-BE49-F238E27FC236}">
                              <a16:creationId xmlns:a16="http://schemas.microsoft.com/office/drawing/2014/main" id="{F0B5B143-DA96-4EF5-9CD3-7BF5CFFFB0F4}"/>
                            </a:ext>
                          </a:extLst>
                        </wps:cNvPr>
                        <wps:cNvSpPr txBox="1">
                          <a:spLocks noChangeArrowheads="1"/>
                        </wps:cNvSpPr>
                        <wps:spPr bwMode="auto">
                          <a:xfrm>
                            <a:off x="3006403" y="466955"/>
                            <a:ext cx="2679635" cy="343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BFBA3"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1: Information of Candidate SN serving Frequency List </w:t>
                              </w:r>
                            </w:p>
                          </w:txbxContent>
                        </wps:txbx>
                        <wps:bodyPr wrap="square">
                          <a:noAutofit/>
                        </wps:bodyPr>
                      </wps:wsp>
                      <wps:wsp>
                        <wps:cNvPr id="11" name="文本框 20">
                          <a:extLst>
                            <a:ext uri="{FF2B5EF4-FFF2-40B4-BE49-F238E27FC236}">
                              <a16:creationId xmlns:a16="http://schemas.microsoft.com/office/drawing/2014/main" id="{79FEDB66-5033-4DA0-9705-72462E7F6554}"/>
                            </a:ext>
                          </a:extLst>
                        </wps:cNvPr>
                        <wps:cNvSpPr txBox="1">
                          <a:spLocks noChangeArrowheads="1"/>
                        </wps:cNvSpPr>
                        <wps:spPr bwMode="auto">
                          <a:xfrm>
                            <a:off x="466547" y="661776"/>
                            <a:ext cx="2643738" cy="488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15695"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2: Information of Candidate SN serving Frequency List </w:t>
                              </w:r>
                            </w:p>
                          </w:txbxContent>
                        </wps:txbx>
                        <wps:bodyPr wrap="square">
                          <a:noAutofit/>
                        </wps:bodyPr>
                      </wps:wsp>
                      <wps:wsp>
                        <wps:cNvPr id="8" name="直接箭头连接符 7">
                          <a:extLst>
                            <a:ext uri="{FF2B5EF4-FFF2-40B4-BE49-F238E27FC236}">
                              <a16:creationId xmlns:a16="http://schemas.microsoft.com/office/drawing/2014/main" id="{8100BCF3-4E4B-4C44-9588-9A7AC0076FB6}"/>
                            </a:ext>
                          </a:extLst>
                        </wps:cNvPr>
                        <wps:cNvCnPr/>
                        <wps:spPr bwMode="auto">
                          <a:xfrm flipH="1">
                            <a:off x="3028950" y="742950"/>
                            <a:ext cx="2589894" cy="0"/>
                          </a:xfrm>
                          <a:prstGeom prst="straightConnector1">
                            <a:avLst/>
                          </a:prstGeom>
                          <a:noFill/>
                          <a:ln w="9525" cap="flat" cmpd="sng" algn="ctr">
                            <a:solidFill>
                              <a:srgbClr val="000000"/>
                            </a:solidFill>
                            <a:prstDash val="solid"/>
                            <a:tailEnd type="triangle"/>
                          </a:ln>
                          <a:effectLst/>
                        </wps:spPr>
                        <wps:bodyPr/>
                      </wps:wsp>
                      <wps:wsp>
                        <wps:cNvPr id="14" name="文本框 13">
                          <a:extLst>
                            <a:ext uri="{FF2B5EF4-FFF2-40B4-BE49-F238E27FC236}">
                              <a16:creationId xmlns:a16="http://schemas.microsoft.com/office/drawing/2014/main" id="{80EF9289-05D4-4434-A01A-7C7D51452FB6}"/>
                            </a:ext>
                          </a:extLst>
                        </wps:cNvPr>
                        <wps:cNvSpPr txBox="1">
                          <a:spLocks noChangeArrowheads="1"/>
                        </wps:cNvSpPr>
                        <wps:spPr bwMode="auto">
                          <a:xfrm>
                            <a:off x="3878580" y="730250"/>
                            <a:ext cx="1348949"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37F14"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CG-Config)</w:t>
                              </w:r>
                            </w:p>
                          </w:txbxContent>
                        </wps:txbx>
                        <wps:bodyPr wrap="square">
                          <a:noAutofit/>
                        </wps:bodyPr>
                      </wps:wsp>
                      <wps:wsp>
                        <wps:cNvPr id="15" name="文本框 25">
                          <a:extLst>
                            <a:ext uri="{FF2B5EF4-FFF2-40B4-BE49-F238E27FC236}">
                              <a16:creationId xmlns:a16="http://schemas.microsoft.com/office/drawing/2014/main" id="{382D70E4-CD0E-4DF1-8371-D6C708A44552}"/>
                            </a:ext>
                          </a:extLst>
                        </wps:cNvPr>
                        <wps:cNvSpPr txBox="1">
                          <a:spLocks noChangeArrowheads="1"/>
                        </wps:cNvSpPr>
                        <wps:spPr bwMode="auto">
                          <a:xfrm>
                            <a:off x="1169670" y="1118870"/>
                            <a:ext cx="1350838"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ED9CA"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Other-Config)</w:t>
                              </w:r>
                            </w:p>
                          </w:txbxContent>
                        </wps:txbx>
                        <wps:bodyPr wrap="square">
                          <a:noAutofit/>
                        </wps:bodyPr>
                      </wps:wsp>
                      <wps:wsp>
                        <wps:cNvPr id="10" name="直接箭头连接符 19">
                          <a:extLst>
                            <a:ext uri="{FF2B5EF4-FFF2-40B4-BE49-F238E27FC236}">
                              <a16:creationId xmlns:a16="http://schemas.microsoft.com/office/drawing/2014/main" id="{A127F79A-B0AB-438A-9CFF-CF4FD5E6890B}"/>
                            </a:ext>
                          </a:extLst>
                        </wps:cNvPr>
                        <wps:cNvCnPr/>
                        <wps:spPr bwMode="auto">
                          <a:xfrm flipH="1">
                            <a:off x="431800" y="1143000"/>
                            <a:ext cx="2591468" cy="0"/>
                          </a:xfrm>
                          <a:prstGeom prst="straightConnector1">
                            <a:avLst/>
                          </a:prstGeom>
                          <a:noFill/>
                          <a:ln w="9525" cap="flat" cmpd="sng" algn="ctr">
                            <a:solidFill>
                              <a:srgbClr val="000000"/>
                            </a:solidFill>
                            <a:prstDash val="solid"/>
                            <a:tailEnd type="triangle"/>
                          </a:ln>
                          <a:effectLst/>
                        </wps:spPr>
                        <wps:bodyPr/>
                      </wps:wsp>
                      <wps:wsp>
                        <wps:cNvPr id="16" name="文本框 26">
                          <a:extLst>
                            <a:ext uri="{FF2B5EF4-FFF2-40B4-BE49-F238E27FC236}">
                              <a16:creationId xmlns:a16="http://schemas.microsoft.com/office/drawing/2014/main" id="{D76ACB1E-6C35-4CAC-A9A6-B82E1F229444}"/>
                            </a:ext>
                          </a:extLst>
                        </wps:cNvPr>
                        <wps:cNvSpPr txBox="1">
                          <a:spLocks noChangeArrowheads="1"/>
                        </wps:cNvSpPr>
                        <wps:spPr bwMode="auto">
                          <a:xfrm>
                            <a:off x="425450" y="1354151"/>
                            <a:ext cx="2641849" cy="488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5E4B7"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3: Information of actually affected SN serving Frequency List </w:t>
                              </w:r>
                            </w:p>
                          </w:txbxContent>
                        </wps:txbx>
                        <wps:bodyPr wrap="square">
                          <a:noAutofit/>
                        </wps:bodyPr>
                      </wps:wsp>
                      <wps:wsp>
                        <wps:cNvPr id="12" name="直接箭头连接符 12">
                          <a:extLst>
                            <a:ext uri="{FF2B5EF4-FFF2-40B4-BE49-F238E27FC236}">
                              <a16:creationId xmlns:a16="http://schemas.microsoft.com/office/drawing/2014/main" id="{B7EDB811-256A-4FE7-BECD-BB3BEE8DE194}"/>
                            </a:ext>
                          </a:extLst>
                        </wps:cNvPr>
                        <wps:cNvCnPr/>
                        <wps:spPr bwMode="auto">
                          <a:xfrm>
                            <a:off x="425450" y="1784350"/>
                            <a:ext cx="2597766" cy="0"/>
                          </a:xfrm>
                          <a:prstGeom prst="straightConnector1">
                            <a:avLst/>
                          </a:prstGeom>
                          <a:noFill/>
                          <a:ln w="9525" cap="flat" cmpd="sng" algn="ctr">
                            <a:solidFill>
                              <a:srgbClr val="000000"/>
                            </a:solidFill>
                            <a:prstDash val="solid"/>
                            <a:tailEnd type="triangle"/>
                          </a:ln>
                          <a:effectLst/>
                        </wps:spPr>
                        <wps:bodyPr/>
                      </wps:wsp>
                      <wps:wsp>
                        <wps:cNvPr id="13" name="直接箭头连接符 23">
                          <a:extLst>
                            <a:ext uri="{FF2B5EF4-FFF2-40B4-BE49-F238E27FC236}">
                              <a16:creationId xmlns:a16="http://schemas.microsoft.com/office/drawing/2014/main" id="{6808109E-3D0C-4181-BBD0-464FE77CC872}"/>
                            </a:ext>
                          </a:extLst>
                        </wps:cNvPr>
                        <wps:cNvCnPr/>
                        <wps:spPr bwMode="auto">
                          <a:xfrm>
                            <a:off x="3022600" y="2216150"/>
                            <a:ext cx="2596192" cy="0"/>
                          </a:xfrm>
                          <a:prstGeom prst="straightConnector1">
                            <a:avLst/>
                          </a:prstGeom>
                          <a:noFill/>
                          <a:ln w="9525" cap="flat" cmpd="sng" algn="ctr">
                            <a:solidFill>
                              <a:srgbClr val="000000"/>
                            </a:solidFill>
                            <a:prstDash val="solid"/>
                            <a:tailEnd type="triangle"/>
                          </a:ln>
                          <a:effectLst/>
                        </wps:spPr>
                        <wps:bodyPr/>
                      </wps:wsp>
                      <wps:wsp>
                        <wps:cNvPr id="17" name="文本框 27">
                          <a:extLst>
                            <a:ext uri="{FF2B5EF4-FFF2-40B4-BE49-F238E27FC236}">
                              <a16:creationId xmlns:a16="http://schemas.microsoft.com/office/drawing/2014/main" id="{85E5EB10-49B8-44CF-A99F-9D5CA9FEEC8D}"/>
                            </a:ext>
                          </a:extLst>
                        </wps:cNvPr>
                        <wps:cNvSpPr txBox="1">
                          <a:spLocks noChangeArrowheads="1"/>
                        </wps:cNvSpPr>
                        <wps:spPr bwMode="auto">
                          <a:xfrm>
                            <a:off x="3044189" y="1770372"/>
                            <a:ext cx="2641849" cy="4527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3FB26"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4: Information of actually affected SN serving Frequency List </w:t>
                              </w:r>
                            </w:p>
                          </w:txbxContent>
                        </wps:txbx>
                        <wps:bodyPr wrap="square">
                          <a:noAutofit/>
                        </wps:bodyPr>
                      </wps:wsp>
                      <wps:wsp>
                        <wps:cNvPr id="18" name="文本框 28">
                          <a:extLst>
                            <a:ext uri="{FF2B5EF4-FFF2-40B4-BE49-F238E27FC236}">
                              <a16:creationId xmlns:a16="http://schemas.microsoft.com/office/drawing/2014/main" id="{D0563AF5-8C3F-4387-8837-17949D2AE3A8}"/>
                            </a:ext>
                          </a:extLst>
                        </wps:cNvPr>
                        <wps:cNvSpPr txBox="1">
                          <a:spLocks noChangeArrowheads="1"/>
                        </wps:cNvSpPr>
                        <wps:spPr bwMode="auto">
                          <a:xfrm>
                            <a:off x="3895090" y="2211070"/>
                            <a:ext cx="1568106"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6C342" w14:textId="77777777" w:rsidR="00141906" w:rsidRPr="008E68A3" w:rsidRDefault="00141906" w:rsidP="00141906">
                              <w:pPr>
                                <w:pStyle w:val="NormalWeb"/>
                                <w:kinsoku w:val="0"/>
                                <w:overflowPunct w:val="0"/>
                                <w:spacing w:before="0" w:beforeAutospacing="0" w:after="0" w:afterAutospacing="0"/>
                                <w:textAlignment w:val="baseline"/>
                                <w:rPr>
                                  <w:sz w:val="16"/>
                                  <w:szCs w:val="16"/>
                                </w:rPr>
                              </w:pPr>
                              <w:r w:rsidRPr="008E68A3">
                                <w:rPr>
                                  <w:rFonts w:ascii="Arial" w:hAnsi="Arial" w:cstheme="minorBidi"/>
                                  <w:color w:val="000000" w:themeColor="text1"/>
                                  <w:kern w:val="24"/>
                                  <w:sz w:val="16"/>
                                  <w:szCs w:val="16"/>
                                </w:rPr>
                                <w:t>(In CG-</w:t>
                              </w:r>
                              <w:proofErr w:type="spellStart"/>
                              <w:r w:rsidRPr="008E68A3">
                                <w:rPr>
                                  <w:rFonts w:ascii="Arial" w:hAnsi="Arial" w:cstheme="minorBidi"/>
                                  <w:color w:val="000000" w:themeColor="text1"/>
                                  <w:kern w:val="24"/>
                                  <w:sz w:val="16"/>
                                  <w:szCs w:val="16"/>
                                </w:rPr>
                                <w:t>ConfigInfo</w:t>
                              </w:r>
                              <w:proofErr w:type="spellEnd"/>
                              <w:r w:rsidRPr="008E68A3">
                                <w:rPr>
                                  <w:rFonts w:ascii="Arial" w:hAnsi="Arial" w:cstheme="minorBidi"/>
                                  <w:color w:val="000000" w:themeColor="text1"/>
                                  <w:kern w:val="24"/>
                                  <w:sz w:val="16"/>
                                  <w:szCs w:val="16"/>
                                </w:rPr>
                                <w:t>)</w:t>
                              </w:r>
                            </w:p>
                          </w:txbxContent>
                        </wps:txbx>
                        <wps:bodyPr wrap="square">
                          <a:noAutofit/>
                        </wps:bodyPr>
                      </wps:wsp>
                      <wps:wsp>
                        <wps:cNvPr id="19" name="文本框 29">
                          <a:extLst>
                            <a:ext uri="{FF2B5EF4-FFF2-40B4-BE49-F238E27FC236}">
                              <a16:creationId xmlns:a16="http://schemas.microsoft.com/office/drawing/2014/main" id="{2E2C748C-1D2E-4B11-BE5D-88A87917AF33}"/>
                            </a:ext>
                          </a:extLst>
                        </wps:cNvPr>
                        <wps:cNvSpPr txBox="1">
                          <a:spLocks noChangeArrowheads="1"/>
                        </wps:cNvSpPr>
                        <wps:spPr bwMode="auto">
                          <a:xfrm>
                            <a:off x="908050" y="1770372"/>
                            <a:ext cx="2253286" cy="271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DAEBE"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IDC assistance information)</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5D39B003" id="Group 20" o:spid="_x0000_s1026" style="position:absolute;left:0;text-align:left;margin-left:26.3pt;margin-top:19.45pt;width:424.4pt;height:156pt;z-index:251659264;mso-position-horizontal-relative:margin;mso-width-relative:margin;mso-height-relative:margin" coordsize="60253,2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">
                <v:rect id="矩形 2" o:spid="_x0000_s1027" style="position:absolute;width:8564;height:2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" strokeweight="1pt">
                  <v:textbox>
                    <w:txbxContent>
                      <w:p w14:paraId="1163BD26"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UE</w:t>
                        </w:r>
                      </w:p>
                    </w:txbxContent>
                  </v:textbox>
                </v:rect>
                <v:rect id="矩形 10" o:spid="_x0000_s1028" style="position:absolute;left:25971;width:8565;height:2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v06wgAAANoAAAAPAAAAZHJzL2Rvd25yZXYueG1sRI9Bi8Iw&#10;FITvgv8hPGFvmrrC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C0yv06wgAAANoAAAAPAAAA&#10;AAAAAAAAAAAAAAcCAABkcnMvZG93bnJldi54bWxQSwUGAAAAAAMAAwC3AAAA9gIAAAAA&#10;" strokeweight="1pt">
                  <v:textbox>
                    <w:txbxContent>
                      <w:p w14:paraId="3A5C2150"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MN</w:t>
                        </w:r>
                      </w:p>
                    </w:txbxContent>
                  </v:textbox>
                </v:rect>
                <v:rect id="矩形 11" o:spid="_x0000_s1029" style="position:absolute;left:51689;width:856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2VOwgAAANoAAAAPAAAAZHJzL2Rvd25yZXYueG1sRI9Bi8Iw&#10;FITvgv8hPGFvmrrI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A7I2VOwgAAANoAAAAPAAAA&#10;AAAAAAAAAAAAAAcCAABkcnMvZG93bnJldi54bWxQSwUGAAAAAAMAAwC3AAAA9gIAAAAA&#10;" strokeweight="1pt">
                  <v:textbox>
                    <w:txbxContent>
                      <w:p w14:paraId="7B76D0FA" w14:textId="77777777" w:rsidR="00141906" w:rsidRPr="008E68A3" w:rsidRDefault="00141906" w:rsidP="00141906">
                        <w:pPr>
                          <w:pStyle w:val="NormalWeb"/>
                          <w:kinsoku w:val="0"/>
                          <w:overflowPunct w:val="0"/>
                          <w:spacing w:before="0" w:beforeAutospacing="0" w:after="0" w:afterAutospacing="0"/>
                          <w:jc w:val="center"/>
                          <w:textAlignment w:val="baseline"/>
                          <w:rPr>
                            <w:sz w:val="18"/>
                          </w:rPr>
                        </w:pPr>
                        <w:r w:rsidRPr="008E68A3">
                          <w:rPr>
                            <w:rFonts w:asciiTheme="minorHAnsi" w:hAnsi="Calibri" w:cstheme="minorBidi"/>
                            <w:color w:val="000000" w:themeColor="text1"/>
                            <w:kern w:val="24"/>
                            <w:sz w:val="18"/>
                          </w:rPr>
                          <w:t>SN</w:t>
                        </w:r>
                      </w:p>
                    </w:txbxContent>
                  </v:textbox>
                </v:rect>
                <v:line id="直接连接符 4" o:spid="_x0000_s1030" style="position:absolute;visibility:visible;mso-wrap-style:square" from="30289,2857" to="30289,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JkwgAAANoAAAAPAAAAZHJzL2Rvd25yZXYueG1sRI/dagIx&#10;FITvC75DOIJ3NavQ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COzwJkwgAAANoAAAAPAAAA&#10;AAAAAAAAAAAAAAcCAABkcnMvZG93bnJldi54bWxQSwUGAAAAAAMAAwC3AAAA9gIAAAAA&#10;" strokeweight="1pt"/>
                <v:line id="直接连接符 14" o:spid="_x0000_s1031" style="position:absolute;visibility:visible;mso-wrap-style:square" from="56134,2857" to="56134,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line id="直接连接符 15" o:spid="_x0000_s1032" style="position:absolute;visibility:visible;mso-wrap-style:square" from="4254,2857" to="4254,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shapetype id="_x0000_t202" coordsize="21600,21600" o:spt="202" path="m,l,21600r21600,l21600,xe">
                  <v:stroke joinstyle="miter"/>
                  <v:path gradientshapeok="t" o:connecttype="rect"/>
                </v:shapetype>
                <v:shape id="文本框 8" o:spid="_x0000_s1033" type="#_x0000_t202" style="position:absolute;left:30064;top:4669;width:26796;height:3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83BFBA3"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1: Information of Candidate SN serving Frequency List </w:t>
                        </w:r>
                      </w:p>
                    </w:txbxContent>
                  </v:textbox>
                </v:shape>
                <v:shape id="文本框 20" o:spid="_x0000_s1034" type="#_x0000_t202" style="position:absolute;left:4665;top:6617;width:26437;height:4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0315695"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2: Information of Candidate SN serving Frequency List </w:t>
                        </w:r>
                      </w:p>
                    </w:txbxContent>
                  </v:textbox>
                </v:shape>
                <v:shapetype id="_x0000_t32" coordsize="21600,21600" o:spt="32" o:oned="t" path="m,l21600,21600e" filled="f">
                  <v:path arrowok="t" fillok="f" o:connecttype="none"/>
                  <o:lock v:ext="edit" shapetype="t"/>
                </v:shapetype>
                <v:shape id="直接箭头连接符 7" o:spid="_x0000_s1035" type="#_x0000_t32" style="position:absolute;left:30289;top:7429;width:258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">
                  <v:stroke endarrow="block"/>
                </v:shape>
                <v:shape id="文本框 13" o:spid="_x0000_s1036" type="#_x0000_t202" style="position:absolute;left:38785;top:7302;width:13490;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FD37F14"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CG-Config)</w:t>
                        </w:r>
                      </w:p>
                    </w:txbxContent>
                  </v:textbox>
                </v:shape>
                <v:shape id="文本框 25" o:spid="_x0000_s1037" type="#_x0000_t202" style="position:absolute;left:11696;top:11188;width:13509;height: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FBED9CA"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Other-Config)</w:t>
                        </w:r>
                      </w:p>
                    </w:txbxContent>
                  </v:textbox>
                </v:shape>
                <v:shape id="直接箭头连接符 19" o:spid="_x0000_s1038" type="#_x0000_t32" style="position:absolute;left:4318;top:11430;width:25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文本框 26" o:spid="_x0000_s1039" type="#_x0000_t202" style="position:absolute;left:4254;top:13541;width:26418;height:4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17B5E4B7"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3: Information of actually affected SN serving Frequency List </w:t>
                        </w:r>
                      </w:p>
                    </w:txbxContent>
                  </v:textbox>
                </v:shape>
                <v:shape id="直接箭头连接符 12" o:spid="_x0000_s1040" type="#_x0000_t32" style="position:absolute;left:4254;top:17843;width:25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直接箭头连接符 23" o:spid="_x0000_s1041" type="#_x0000_t32" style="position:absolute;left:30226;top:22161;width:259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文本框 27" o:spid="_x0000_s1042" type="#_x0000_t202" style="position:absolute;left:30441;top:17703;width:26419;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813FB26"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 xml:space="preserve">4: Information of actually affected SN serving Frequency List </w:t>
                        </w:r>
                      </w:p>
                    </w:txbxContent>
                  </v:textbox>
                </v:shape>
                <v:shape id="文本框 28" o:spid="_x0000_s1043" type="#_x0000_t202" style="position:absolute;left:38950;top:22110;width:15681;height: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196C342" w14:textId="77777777" w:rsidR="00141906" w:rsidRPr="008E68A3" w:rsidRDefault="00141906" w:rsidP="00141906">
                        <w:pPr>
                          <w:pStyle w:val="NormalWeb"/>
                          <w:kinsoku w:val="0"/>
                          <w:overflowPunct w:val="0"/>
                          <w:spacing w:before="0" w:beforeAutospacing="0" w:after="0" w:afterAutospacing="0"/>
                          <w:textAlignment w:val="baseline"/>
                          <w:rPr>
                            <w:sz w:val="16"/>
                            <w:szCs w:val="16"/>
                          </w:rPr>
                        </w:pPr>
                        <w:r w:rsidRPr="008E68A3">
                          <w:rPr>
                            <w:rFonts w:ascii="Arial" w:hAnsi="Arial" w:cstheme="minorBidi"/>
                            <w:color w:val="000000" w:themeColor="text1"/>
                            <w:kern w:val="24"/>
                            <w:sz w:val="16"/>
                            <w:szCs w:val="16"/>
                          </w:rPr>
                          <w:t>(In CG-</w:t>
                        </w:r>
                        <w:proofErr w:type="spellStart"/>
                        <w:r w:rsidRPr="008E68A3">
                          <w:rPr>
                            <w:rFonts w:ascii="Arial" w:hAnsi="Arial" w:cstheme="minorBidi"/>
                            <w:color w:val="000000" w:themeColor="text1"/>
                            <w:kern w:val="24"/>
                            <w:sz w:val="16"/>
                            <w:szCs w:val="16"/>
                          </w:rPr>
                          <w:t>ConfigInfo</w:t>
                        </w:r>
                        <w:proofErr w:type="spellEnd"/>
                        <w:r w:rsidRPr="008E68A3">
                          <w:rPr>
                            <w:rFonts w:ascii="Arial" w:hAnsi="Arial" w:cstheme="minorBidi"/>
                            <w:color w:val="000000" w:themeColor="text1"/>
                            <w:kern w:val="24"/>
                            <w:sz w:val="16"/>
                            <w:szCs w:val="16"/>
                          </w:rPr>
                          <w:t>)</w:t>
                        </w:r>
                      </w:p>
                    </w:txbxContent>
                  </v:textbox>
                </v:shape>
                <v:shape id="文本框 29" o:spid="_x0000_s1044" type="#_x0000_t202" style="position:absolute;left:9080;top:17703;width:22533;height:2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3FCDAEBE" w14:textId="77777777" w:rsidR="00141906" w:rsidRPr="008E68A3" w:rsidRDefault="00141906" w:rsidP="00141906">
                        <w:pPr>
                          <w:pStyle w:val="NormalWeb"/>
                          <w:kinsoku w:val="0"/>
                          <w:overflowPunct w:val="0"/>
                          <w:spacing w:before="0" w:beforeAutospacing="0" w:after="0" w:afterAutospacing="0"/>
                          <w:textAlignment w:val="baseline"/>
                          <w:rPr>
                            <w:sz w:val="16"/>
                          </w:rPr>
                        </w:pPr>
                        <w:r w:rsidRPr="008E68A3">
                          <w:rPr>
                            <w:rFonts w:ascii="Arial" w:hAnsi="Arial" w:cstheme="minorBidi"/>
                            <w:color w:val="000000" w:themeColor="text1"/>
                            <w:kern w:val="24"/>
                            <w:sz w:val="16"/>
                          </w:rPr>
                          <w:t>(In IDC assistance information)</w:t>
                        </w:r>
                      </w:p>
                    </w:txbxContent>
                  </v:textbox>
                </v:shape>
                <w10:wrap anchorx="margin"/>
              </v:group>
            </w:pict>
          </mc:Fallback>
        </mc:AlternateContent>
      </w:r>
    </w:p>
    <w:p w14:paraId="2506645D" w14:textId="3CAA5CE6" w:rsidR="00141906" w:rsidRDefault="00141906" w:rsidP="00141906">
      <w:pPr>
        <w:pStyle w:val="ListParagraph"/>
        <w:ind w:leftChars="0" w:left="420" w:firstLine="0"/>
        <w:rPr>
          <w:rFonts w:eastAsia="MS Mincho"/>
          <w:lang w:eastAsia="ja-JP"/>
        </w:rPr>
      </w:pPr>
    </w:p>
    <w:p w14:paraId="5229E4D5" w14:textId="2C3CA50F" w:rsidR="00141906" w:rsidRDefault="00141906" w:rsidP="00141906">
      <w:pPr>
        <w:pStyle w:val="ListParagraph"/>
        <w:ind w:leftChars="0" w:left="420" w:firstLine="0"/>
        <w:rPr>
          <w:rFonts w:eastAsia="MS Mincho"/>
          <w:lang w:eastAsia="ja-JP"/>
        </w:rPr>
      </w:pPr>
    </w:p>
    <w:p w14:paraId="2D95020C" w14:textId="487C58C8" w:rsidR="00141906" w:rsidRDefault="00141906" w:rsidP="00141906">
      <w:pPr>
        <w:pStyle w:val="ListParagraph"/>
        <w:ind w:leftChars="0" w:left="420" w:firstLine="0"/>
        <w:rPr>
          <w:rFonts w:eastAsia="MS Mincho"/>
          <w:lang w:eastAsia="ja-JP"/>
        </w:rPr>
      </w:pPr>
    </w:p>
    <w:p w14:paraId="6566C300" w14:textId="3253C8BE" w:rsidR="00141906" w:rsidRDefault="00141906" w:rsidP="00141906">
      <w:pPr>
        <w:pStyle w:val="ListParagraph"/>
        <w:ind w:leftChars="0" w:left="420" w:firstLine="0"/>
        <w:rPr>
          <w:rFonts w:eastAsia="MS Mincho"/>
          <w:lang w:eastAsia="ja-JP"/>
        </w:rPr>
      </w:pPr>
    </w:p>
    <w:p w14:paraId="5348F086" w14:textId="304013CE" w:rsidR="00141906" w:rsidRDefault="00141906" w:rsidP="00141906">
      <w:pPr>
        <w:pStyle w:val="ListParagraph"/>
        <w:ind w:leftChars="0" w:left="420" w:firstLine="0"/>
        <w:rPr>
          <w:rFonts w:eastAsia="MS Mincho"/>
          <w:lang w:eastAsia="ja-JP"/>
        </w:rPr>
      </w:pPr>
      <w:bookmarkStart w:id="3" w:name="_GoBack"/>
      <w:bookmarkEnd w:id="3"/>
    </w:p>
    <w:p w14:paraId="4853170A" w14:textId="0A19AB5D" w:rsidR="006C235B" w:rsidRDefault="006C235B" w:rsidP="006C235B">
      <w:pPr>
        <w:pStyle w:val="Caption"/>
        <w:jc w:val="center"/>
        <w:rPr>
          <w:b w:val="0"/>
        </w:rPr>
      </w:pPr>
      <w:r>
        <w:t xml:space="preserve">Figure </w:t>
      </w:r>
      <w:r w:rsidR="0044553D">
        <w:t>4</w:t>
      </w:r>
      <w:r>
        <w:t xml:space="preserve"> </w:t>
      </w:r>
      <w:r w:rsidR="00E55C1C">
        <w:t>– EN-DC</w:t>
      </w:r>
      <w:r w:rsidR="00E55C1C" w:rsidRPr="00E55C1C">
        <w:t xml:space="preserve"> procedure for the current FDM</w:t>
      </w:r>
      <w:r w:rsidR="00AC5BC8">
        <w:t xml:space="preserve"> based </w:t>
      </w:r>
      <w:r w:rsidR="00E55C1C" w:rsidRPr="00E55C1C">
        <w:t xml:space="preserve">solution </w:t>
      </w:r>
    </w:p>
    <w:p w14:paraId="17C0DA9F" w14:textId="23417ACB" w:rsidR="002318FA" w:rsidRPr="009A4433" w:rsidRDefault="002318FA" w:rsidP="00B00BEF">
      <w:pPr>
        <w:rPr>
          <w:rFonts w:cs="Times New Roman"/>
          <w:b/>
          <w:szCs w:val="21"/>
        </w:rPr>
      </w:pPr>
      <w:r w:rsidRPr="009A4433">
        <w:rPr>
          <w:rFonts w:cs="Times New Roman"/>
          <w:b/>
          <w:szCs w:val="21"/>
        </w:rPr>
        <w:t xml:space="preserve">Proposal </w:t>
      </w:r>
      <w:r w:rsidR="0044553D" w:rsidRPr="009A4433">
        <w:rPr>
          <w:rFonts w:cs="Times New Roman"/>
          <w:b/>
          <w:szCs w:val="21"/>
        </w:rPr>
        <w:t>7</w:t>
      </w:r>
      <w:r w:rsidRPr="009A4433">
        <w:rPr>
          <w:rFonts w:cs="Times New Roman"/>
          <w:b/>
          <w:szCs w:val="21"/>
        </w:rPr>
        <w:t>:</w:t>
      </w:r>
      <w:r w:rsidRPr="009A4433">
        <w:rPr>
          <w:rFonts w:cs="Times New Roman"/>
          <w:szCs w:val="21"/>
        </w:rPr>
        <w:t xml:space="preserve"> </w:t>
      </w:r>
      <w:r w:rsidRPr="009A4433">
        <w:rPr>
          <w:rFonts w:cs="Times New Roman"/>
          <w:b/>
          <w:szCs w:val="21"/>
        </w:rPr>
        <w:t xml:space="preserve">To support the FDM enhancement as in Proposal </w:t>
      </w:r>
      <w:r w:rsidR="0044553D" w:rsidRPr="009A4433">
        <w:rPr>
          <w:rFonts w:cs="Times New Roman"/>
          <w:b/>
          <w:szCs w:val="21"/>
        </w:rPr>
        <w:t>3</w:t>
      </w:r>
      <w:r w:rsidRPr="009A4433">
        <w:rPr>
          <w:rFonts w:cs="Times New Roman"/>
          <w:b/>
          <w:szCs w:val="21"/>
        </w:rPr>
        <w:t xml:space="preserve"> and </w:t>
      </w:r>
      <w:r w:rsidR="0044553D" w:rsidRPr="009A4433">
        <w:rPr>
          <w:rFonts w:cs="Times New Roman"/>
          <w:b/>
          <w:szCs w:val="21"/>
        </w:rPr>
        <w:t>4</w:t>
      </w:r>
      <w:r w:rsidRPr="009A4433">
        <w:rPr>
          <w:rFonts w:cs="Times New Roman"/>
          <w:b/>
          <w:szCs w:val="21"/>
        </w:rPr>
        <w:t xml:space="preserve"> for scenario </w:t>
      </w:r>
      <w:r w:rsidR="00350E67" w:rsidRPr="009A4433">
        <w:rPr>
          <w:rFonts w:cs="Times New Roman"/>
          <w:b/>
          <w:szCs w:val="21"/>
        </w:rPr>
        <w:t>2-1:</w:t>
      </w:r>
    </w:p>
    <w:p w14:paraId="2EA43AB0" w14:textId="0AA8D24D" w:rsidR="00350E67" w:rsidRPr="00141906" w:rsidRDefault="00350E67" w:rsidP="00B00BEF">
      <w:pPr>
        <w:pStyle w:val="ListParagraph"/>
        <w:numPr>
          <w:ilvl w:val="0"/>
          <w:numId w:val="20"/>
        </w:numPr>
        <w:spacing w:after="0" w:afterAutospacing="0"/>
        <w:ind w:leftChars="0"/>
        <w:rPr>
          <w:rFonts w:ascii="Times New Roman" w:hAnsi="Times New Roman"/>
          <w:b/>
          <w:sz w:val="21"/>
          <w:szCs w:val="21"/>
        </w:rPr>
      </w:pPr>
      <w:r w:rsidRPr="00141906">
        <w:rPr>
          <w:rFonts w:ascii="Times New Roman" w:eastAsiaTheme="minorEastAsia" w:hAnsi="Times New Roman"/>
          <w:b/>
          <w:sz w:val="21"/>
          <w:szCs w:val="21"/>
        </w:rPr>
        <w:t xml:space="preserve">When the SN provide configurations for IDC to the MN via the CG-Config, </w:t>
      </w:r>
      <w:r w:rsidRPr="00141906">
        <w:rPr>
          <w:rFonts w:ascii="Times New Roman" w:hAnsi="Times New Roman"/>
          <w:b/>
          <w:sz w:val="21"/>
          <w:szCs w:val="21"/>
        </w:rPr>
        <w:t xml:space="preserve">the SN includes the enhanced IDC related configurations as given in proposal </w:t>
      </w:r>
      <w:r w:rsidR="0044553D" w:rsidRPr="00141906">
        <w:rPr>
          <w:rFonts w:ascii="Times New Roman" w:hAnsi="Times New Roman"/>
          <w:b/>
          <w:sz w:val="21"/>
          <w:szCs w:val="21"/>
        </w:rPr>
        <w:t>3</w:t>
      </w:r>
      <w:r w:rsidR="005E405E" w:rsidRPr="00141906">
        <w:rPr>
          <w:rFonts w:ascii="Times New Roman" w:hAnsi="Times New Roman"/>
          <w:b/>
          <w:sz w:val="21"/>
          <w:szCs w:val="21"/>
        </w:rPr>
        <w:t xml:space="preserve">, and the MN provides such configurations to the UE in the </w:t>
      </w:r>
      <w:proofErr w:type="spellStart"/>
      <w:r w:rsidR="005E405E" w:rsidRPr="00141906">
        <w:rPr>
          <w:rFonts w:ascii="Times New Roman" w:hAnsi="Times New Roman"/>
          <w:b/>
          <w:sz w:val="21"/>
          <w:szCs w:val="21"/>
        </w:rPr>
        <w:t>otherConfig</w:t>
      </w:r>
      <w:proofErr w:type="spellEnd"/>
    </w:p>
    <w:p w14:paraId="22BAD1A8" w14:textId="72081A00" w:rsidR="005E405E" w:rsidRDefault="005E405E" w:rsidP="00B00BEF">
      <w:pPr>
        <w:pStyle w:val="ListParagraph"/>
        <w:numPr>
          <w:ilvl w:val="0"/>
          <w:numId w:val="20"/>
        </w:numPr>
        <w:spacing w:after="0" w:afterAutospacing="0"/>
        <w:ind w:leftChars="0"/>
      </w:pPr>
      <w:r w:rsidRPr="00141906">
        <w:rPr>
          <w:rFonts w:ascii="Times New Roman" w:hAnsi="Times New Roman"/>
          <w:b/>
          <w:sz w:val="21"/>
          <w:szCs w:val="21"/>
        </w:rPr>
        <w:t xml:space="preserve">When the UE </w:t>
      </w:r>
      <w:r w:rsidRPr="00141906">
        <w:rPr>
          <w:rFonts w:ascii="Times New Roman" w:eastAsiaTheme="minorEastAsia" w:hAnsi="Times New Roman"/>
          <w:b/>
          <w:sz w:val="21"/>
          <w:szCs w:val="21"/>
        </w:rPr>
        <w:t xml:space="preserve">detects the IDC issues for </w:t>
      </w:r>
      <w:r w:rsidR="002C3F71" w:rsidRPr="00141906">
        <w:rPr>
          <w:rFonts w:ascii="Times New Roman" w:eastAsiaTheme="minorEastAsia" w:hAnsi="Times New Roman"/>
          <w:b/>
          <w:sz w:val="21"/>
          <w:szCs w:val="21"/>
        </w:rPr>
        <w:t>EN</w:t>
      </w:r>
      <w:r w:rsidR="00EE7315" w:rsidRPr="00141906">
        <w:rPr>
          <w:rFonts w:ascii="Times New Roman" w:eastAsiaTheme="minorEastAsia" w:hAnsi="Times New Roman"/>
          <w:b/>
          <w:sz w:val="21"/>
          <w:szCs w:val="21"/>
        </w:rPr>
        <w:t>-</w:t>
      </w:r>
      <w:r w:rsidRPr="00141906">
        <w:rPr>
          <w:rFonts w:ascii="Times New Roman" w:eastAsiaTheme="minorEastAsia" w:hAnsi="Times New Roman"/>
          <w:b/>
          <w:sz w:val="21"/>
          <w:szCs w:val="21"/>
        </w:rPr>
        <w:t xml:space="preserve">DC, for the affected NR frequency, the UE reports the </w:t>
      </w:r>
      <w:r w:rsidRPr="00141906">
        <w:rPr>
          <w:rFonts w:ascii="Times New Roman" w:hAnsi="Times New Roman"/>
          <w:b/>
          <w:sz w:val="21"/>
          <w:szCs w:val="21"/>
        </w:rPr>
        <w:t xml:space="preserve">IDC assistance information with more granular/enhanced FDM information as given in proposal </w:t>
      </w:r>
      <w:r w:rsidR="0044553D" w:rsidRPr="00141906">
        <w:rPr>
          <w:rFonts w:ascii="Times New Roman" w:hAnsi="Times New Roman"/>
          <w:b/>
          <w:sz w:val="21"/>
          <w:szCs w:val="21"/>
        </w:rPr>
        <w:t>4</w:t>
      </w:r>
      <w:r w:rsidRPr="00141906">
        <w:rPr>
          <w:rFonts w:ascii="Times New Roman" w:hAnsi="Times New Roman"/>
          <w:b/>
          <w:sz w:val="21"/>
          <w:szCs w:val="21"/>
        </w:rPr>
        <w:t xml:space="preserve"> to the MN, and MN transfer such information to the SN in the CG-</w:t>
      </w:r>
      <w:proofErr w:type="spellStart"/>
      <w:r w:rsidRPr="00141906">
        <w:rPr>
          <w:rFonts w:ascii="Times New Roman" w:hAnsi="Times New Roman"/>
          <w:b/>
          <w:sz w:val="21"/>
          <w:szCs w:val="21"/>
        </w:rPr>
        <w:t>ConfigInfo</w:t>
      </w:r>
      <w:proofErr w:type="spellEnd"/>
      <w:r w:rsidRPr="00141906">
        <w:rPr>
          <w:rFonts w:ascii="Times New Roman" w:hAnsi="Times New Roman"/>
          <w:b/>
          <w:sz w:val="21"/>
          <w:szCs w:val="21"/>
        </w:rPr>
        <w:t>.</w:t>
      </w:r>
    </w:p>
    <w:p w14:paraId="780B3BCB" w14:textId="78B54E9E" w:rsidR="00350E67" w:rsidRDefault="00350E67" w:rsidP="005E405E">
      <w:pPr>
        <w:ind w:left="105" w:hangingChars="50" w:hanging="105"/>
      </w:pPr>
    </w:p>
    <w:p w14:paraId="7B37A6AF" w14:textId="0274F350" w:rsidR="0044553D" w:rsidRPr="00AE4E23" w:rsidRDefault="0044553D" w:rsidP="0044553D">
      <w:pPr>
        <w:pStyle w:val="Heading"/>
        <w:rPr>
          <w:b w:val="0"/>
          <w:sz w:val="32"/>
          <w:szCs w:val="32"/>
          <w:u w:val="none"/>
        </w:rPr>
      </w:pPr>
      <w:r w:rsidRPr="00AE4E23">
        <w:rPr>
          <w:b w:val="0"/>
          <w:sz w:val="32"/>
          <w:szCs w:val="32"/>
          <w:u w:val="none"/>
        </w:rPr>
        <w:t>2.</w:t>
      </w:r>
      <w:r>
        <w:rPr>
          <w:b w:val="0"/>
          <w:sz w:val="32"/>
          <w:szCs w:val="32"/>
          <w:u w:val="none"/>
        </w:rPr>
        <w:t>3</w:t>
      </w:r>
      <w:r w:rsidRPr="00AE4E23">
        <w:rPr>
          <w:b w:val="0"/>
          <w:sz w:val="32"/>
          <w:szCs w:val="32"/>
          <w:u w:val="none"/>
        </w:rPr>
        <w:t>.</w:t>
      </w:r>
      <w:r>
        <w:rPr>
          <w:b w:val="0"/>
          <w:sz w:val="32"/>
          <w:szCs w:val="32"/>
          <w:u w:val="none"/>
        </w:rPr>
        <w:t>4</w:t>
      </w:r>
      <w:r w:rsidRPr="00AE4E23">
        <w:rPr>
          <w:b w:val="0"/>
          <w:sz w:val="32"/>
          <w:szCs w:val="32"/>
          <w:u w:val="none"/>
        </w:rPr>
        <w:t xml:space="preserve"> </w:t>
      </w:r>
      <w:r w:rsidRPr="003011EF">
        <w:rPr>
          <w:b w:val="0"/>
          <w:sz w:val="32"/>
          <w:szCs w:val="32"/>
          <w:u w:val="none"/>
        </w:rPr>
        <w:t xml:space="preserve">FDM Enhancement for </w:t>
      </w:r>
      <w:r w:rsidRPr="00F23172">
        <w:rPr>
          <w:b w:val="0"/>
          <w:sz w:val="32"/>
          <w:szCs w:val="32"/>
          <w:u w:val="none"/>
        </w:rPr>
        <w:t>Scenario 2-</w:t>
      </w:r>
      <w:r>
        <w:rPr>
          <w:b w:val="0"/>
          <w:sz w:val="32"/>
          <w:szCs w:val="32"/>
          <w:u w:val="none"/>
        </w:rPr>
        <w:t>2</w:t>
      </w:r>
      <w:r w:rsidRPr="003011EF">
        <w:rPr>
          <w:b w:val="0"/>
          <w:sz w:val="32"/>
          <w:szCs w:val="32"/>
          <w:u w:val="none"/>
        </w:rPr>
        <w:t xml:space="preserve"> </w:t>
      </w:r>
      <w:r>
        <w:rPr>
          <w:b w:val="0"/>
          <w:sz w:val="32"/>
          <w:szCs w:val="32"/>
          <w:u w:val="none"/>
        </w:rPr>
        <w:t xml:space="preserve"> </w:t>
      </w:r>
    </w:p>
    <w:p w14:paraId="333ED617" w14:textId="54660370" w:rsidR="00457521" w:rsidRDefault="004C4996" w:rsidP="008C5A80">
      <w:pPr>
        <w:spacing w:beforeLines="50" w:before="120"/>
      </w:pPr>
      <w:r>
        <w:t>For the NR-DC, c</w:t>
      </w:r>
      <w:r w:rsidR="00586AF9">
        <w:t>urrently there is no FDM based solution in place</w:t>
      </w:r>
      <w:r w:rsidR="0026041E">
        <w:t>, in the current specification,</w:t>
      </w:r>
      <w:r w:rsidR="00586AF9">
        <w:t xml:space="preserve"> for</w:t>
      </w:r>
      <w:r w:rsidR="00457521">
        <w:t xml:space="preserve"> </w:t>
      </w:r>
      <w:r w:rsidR="00B10615">
        <w:t xml:space="preserve">reporting of </w:t>
      </w:r>
      <w:r w:rsidR="00B10615" w:rsidRPr="00E43E59">
        <w:t xml:space="preserve">Intermodulation </w:t>
      </w:r>
      <w:r w:rsidR="003C148B" w:rsidRPr="00E43E59">
        <w:t>Distortion interference</w:t>
      </w:r>
      <w:r w:rsidR="00B10615" w:rsidRPr="00600007">
        <w:t xml:space="preserve"> </w:t>
      </w:r>
      <w:r w:rsidR="0026041E">
        <w:t xml:space="preserve">arising </w:t>
      </w:r>
      <w:r w:rsidR="00B10615" w:rsidRPr="00600007">
        <w:t xml:space="preserve">from simultaneous Tx </w:t>
      </w:r>
      <w:r w:rsidR="00B10615">
        <w:t>during</w:t>
      </w:r>
      <w:r w:rsidR="00B10615" w:rsidRPr="00600007">
        <w:t xml:space="preserve"> </w:t>
      </w:r>
      <w:r w:rsidR="00B10615">
        <w:t>N</w:t>
      </w:r>
      <w:r w:rsidR="00B10615" w:rsidRPr="00600007">
        <w:t>R-DC</w:t>
      </w:r>
      <w:r w:rsidR="00B10615">
        <w:t xml:space="preserve"> operation. </w:t>
      </w:r>
      <w:r w:rsidR="00586AF9">
        <w:t>This is because t</w:t>
      </w:r>
      <w:r w:rsidR="00B10615">
        <w:t xml:space="preserve">he </w:t>
      </w:r>
      <w:proofErr w:type="spellStart"/>
      <w:r w:rsidR="00B10615" w:rsidRPr="00B10615">
        <w:rPr>
          <w:b/>
          <w:i/>
        </w:rPr>
        <w:lastRenderedPageBreak/>
        <w:t>affectedCarrierFreqCombList</w:t>
      </w:r>
      <w:proofErr w:type="spellEnd"/>
      <w:r w:rsidR="00B10615">
        <w:rPr>
          <w:b/>
          <w:i/>
        </w:rPr>
        <w:t xml:space="preserve"> </w:t>
      </w:r>
      <w:r w:rsidR="00B10615">
        <w:t xml:space="preserve">IE in the </w:t>
      </w:r>
      <w:proofErr w:type="spellStart"/>
      <w:r w:rsidR="00B10615">
        <w:t>UEAssistanceInformation</w:t>
      </w:r>
      <w:proofErr w:type="spellEnd"/>
      <w:r w:rsidR="00B10615">
        <w:t xml:space="preserve"> message currently supports the reporting of </w:t>
      </w:r>
      <w:r w:rsidR="00B10615" w:rsidRPr="00740BCD">
        <w:rPr>
          <w:lang w:eastAsia="en-GB"/>
        </w:rPr>
        <w:t>list of NR carrier frequenc</w:t>
      </w:r>
      <w:r w:rsidR="00B10615">
        <w:rPr>
          <w:lang w:eastAsia="en-GB"/>
        </w:rPr>
        <w:t>y</w:t>
      </w:r>
      <w:r w:rsidR="00B10615" w:rsidRPr="00740BCD">
        <w:rPr>
          <w:lang w:eastAsia="en-GB"/>
        </w:rPr>
        <w:t xml:space="preserve"> combinations that are affected by IDC problems due to Inter-Modulation Distortion and harmonics from NR when configured with </w:t>
      </w:r>
      <w:r w:rsidR="003C148B">
        <w:rPr>
          <w:lang w:eastAsia="en-GB"/>
        </w:rPr>
        <w:t xml:space="preserve">only </w:t>
      </w:r>
      <w:r w:rsidR="00B10615" w:rsidRPr="00B10615">
        <w:rPr>
          <w:b/>
        </w:rPr>
        <w:t>uplink carrier aggregation UL CA</w:t>
      </w:r>
      <w:r w:rsidR="00B10615">
        <w:rPr>
          <w:b/>
        </w:rPr>
        <w:t>.</w:t>
      </w:r>
    </w:p>
    <w:p w14:paraId="4421C8C6" w14:textId="60EF5056" w:rsidR="004C4996" w:rsidRDefault="00E672B0" w:rsidP="008C5A80">
      <w:pPr>
        <w:spacing w:beforeLines="50" w:before="120"/>
      </w:pPr>
      <w:r>
        <w:rPr>
          <w:rFonts w:hint="eastAsia"/>
        </w:rPr>
        <w:t>So,</w:t>
      </w:r>
      <w:r>
        <w:t xml:space="preserve"> f</w:t>
      </w:r>
      <w:r w:rsidR="004C4996">
        <w:t xml:space="preserve">or this scenario, </w:t>
      </w:r>
      <w:r>
        <w:t xml:space="preserve">the FDM solution should be introduced firstly, and then </w:t>
      </w:r>
      <w:r w:rsidR="00CF2CA3">
        <w:t xml:space="preserve">the same enhancements </w:t>
      </w:r>
      <w:r>
        <w:t xml:space="preserve">as in proposal </w:t>
      </w:r>
      <w:r w:rsidR="0044553D">
        <w:t>7</w:t>
      </w:r>
      <w:r w:rsidR="00CF2CA3">
        <w:t xml:space="preserve"> can be applied</w:t>
      </w:r>
      <w:r>
        <w:t>.</w:t>
      </w:r>
    </w:p>
    <w:p w14:paraId="09E5DDF6" w14:textId="7C1D7559" w:rsidR="008C5A80" w:rsidRDefault="00E672B0" w:rsidP="008C5A80">
      <w:pPr>
        <w:spacing w:beforeLines="50" w:before="120"/>
      </w:pPr>
      <w:r>
        <w:t xml:space="preserve">To support the FDM solution for NR-DC, </w:t>
      </w:r>
      <w:r w:rsidR="00EE7315">
        <w:t xml:space="preserve">the current </w:t>
      </w:r>
      <w:proofErr w:type="spellStart"/>
      <w:r w:rsidR="00EE7315" w:rsidRPr="00B10615">
        <w:rPr>
          <w:b/>
          <w:i/>
        </w:rPr>
        <w:t>affectedCarrierFreqCombList</w:t>
      </w:r>
      <w:proofErr w:type="spellEnd"/>
      <w:r w:rsidR="00EE7315">
        <w:t xml:space="preserve"> in the UAI message for IDC should be </w:t>
      </w:r>
      <w:r w:rsidR="00586AF9">
        <w:t>extend</w:t>
      </w:r>
      <w:r w:rsidR="00EE7315">
        <w:t xml:space="preserve">ed to cover </w:t>
      </w:r>
      <w:r w:rsidR="00586AF9">
        <w:t xml:space="preserve">the NR-DC case. In other </w:t>
      </w:r>
      <w:r w:rsidR="0026041E">
        <w:t>words,</w:t>
      </w:r>
      <w:r w:rsidR="00586AF9">
        <w:t xml:space="preserve"> </w:t>
      </w:r>
      <w:r w:rsidR="00B10615">
        <w:t>i</w:t>
      </w:r>
      <w:r w:rsidR="008C5A80">
        <w:t xml:space="preserve">n case </w:t>
      </w:r>
      <w:r w:rsidR="008C5A80" w:rsidRPr="00E43E59">
        <w:t xml:space="preserve">Intermodulation Distortion </w:t>
      </w:r>
      <w:r w:rsidR="008C5A80" w:rsidRPr="00600007">
        <w:t xml:space="preserve">interference </w:t>
      </w:r>
      <w:r w:rsidR="008C5A80">
        <w:t xml:space="preserve">is </w:t>
      </w:r>
      <w:r w:rsidR="008C5A80" w:rsidRPr="008C5A80">
        <w:t>caused by simultaneous TX on UL frequency</w:t>
      </w:r>
      <w:r w:rsidR="006E40D7">
        <w:t xml:space="preserve"> </w:t>
      </w:r>
      <w:r w:rsidR="006E40D7" w:rsidRPr="008C5A80">
        <w:t>to non-3GPP</w:t>
      </w:r>
      <w:r w:rsidR="006E40D7">
        <w:t xml:space="preserve"> </w:t>
      </w:r>
      <w:r w:rsidR="00CF3765">
        <w:t>during the</w:t>
      </w:r>
      <w:r w:rsidR="008C5A80" w:rsidRPr="00600007">
        <w:t xml:space="preserve"> </w:t>
      </w:r>
      <w:r w:rsidR="008C5A80">
        <w:t>N</w:t>
      </w:r>
      <w:r w:rsidR="008C5A80" w:rsidRPr="00600007">
        <w:t xml:space="preserve">R-DC </w:t>
      </w:r>
      <w:r w:rsidR="00CF3765">
        <w:t xml:space="preserve">operation </w:t>
      </w:r>
      <w:r w:rsidR="008C5A80">
        <w:t xml:space="preserve">then </w:t>
      </w:r>
      <w:r w:rsidR="00CF3765">
        <w:t>it is necessary that the UE reports the combination of such NR carrier frequencies to the network</w:t>
      </w:r>
      <w:r w:rsidR="0026041E" w:rsidRPr="0026041E">
        <w:t xml:space="preserve"> </w:t>
      </w:r>
      <w:r w:rsidR="0026041E">
        <w:t>when configured with NR-DC</w:t>
      </w:r>
      <w:r w:rsidR="00CF3765">
        <w:t>.</w:t>
      </w:r>
    </w:p>
    <w:p w14:paraId="67935D0F" w14:textId="022B46D9" w:rsidR="007A5D4E" w:rsidRDefault="007A5D4E" w:rsidP="008C5A80">
      <w:pPr>
        <w:spacing w:beforeLines="50" w:before="120"/>
        <w:rPr>
          <w:lang w:eastAsia="en-GB"/>
        </w:rPr>
      </w:pPr>
      <w:r>
        <w:rPr>
          <w:lang w:eastAsia="en-GB"/>
        </w:rPr>
        <w:t xml:space="preserve">Additionally, in </w:t>
      </w:r>
      <w:r w:rsidRPr="007A5D4E">
        <w:rPr>
          <w:lang w:eastAsia="en-GB"/>
        </w:rPr>
        <w:t>the CG-</w:t>
      </w:r>
      <w:proofErr w:type="spellStart"/>
      <w:r w:rsidRPr="007A5D4E">
        <w:rPr>
          <w:lang w:eastAsia="en-GB"/>
        </w:rPr>
        <w:t>configInfo</w:t>
      </w:r>
      <w:proofErr w:type="spellEnd"/>
      <w:r w:rsidRPr="007A5D4E">
        <w:rPr>
          <w:lang w:eastAsia="en-GB"/>
        </w:rPr>
        <w:t xml:space="preserve">, the </w:t>
      </w:r>
      <w:proofErr w:type="spellStart"/>
      <w:r w:rsidRPr="007A5D4E">
        <w:rPr>
          <w:lang w:eastAsia="en-GB"/>
        </w:rPr>
        <w:t>affectedCarrierFreqCombMRDC</w:t>
      </w:r>
      <w:proofErr w:type="spellEnd"/>
      <w:r>
        <w:rPr>
          <w:lang w:eastAsia="en-GB"/>
        </w:rPr>
        <w:t xml:space="preserve"> should </w:t>
      </w:r>
      <w:r w:rsidR="006E40D7">
        <w:rPr>
          <w:lang w:eastAsia="en-GB"/>
        </w:rPr>
        <w:t xml:space="preserve">also </w:t>
      </w:r>
      <w:r>
        <w:rPr>
          <w:lang w:eastAsia="en-GB"/>
        </w:rPr>
        <w:t>be extended</w:t>
      </w:r>
      <w:r w:rsidRPr="007A5D4E">
        <w:rPr>
          <w:lang w:eastAsia="en-GB"/>
        </w:rPr>
        <w:t xml:space="preserve"> to </w:t>
      </w:r>
      <w:r w:rsidR="001903F2">
        <w:rPr>
          <w:lang w:eastAsia="en-GB"/>
        </w:rPr>
        <w:t>support</w:t>
      </w:r>
      <w:r w:rsidRPr="007A5D4E">
        <w:rPr>
          <w:lang w:eastAsia="en-GB"/>
        </w:rPr>
        <w:t xml:space="preserve"> the NR-DC case</w:t>
      </w:r>
    </w:p>
    <w:p w14:paraId="0504CC66" w14:textId="5A6E7870" w:rsidR="00457521" w:rsidRDefault="006E40D7" w:rsidP="00141906">
      <w:pPr>
        <w:spacing w:beforeLines="50" w:before="120" w:after="240"/>
        <w:rPr>
          <w:lang w:eastAsia="en-GB"/>
        </w:rPr>
      </w:pPr>
      <w:r>
        <w:rPr>
          <w:lang w:eastAsia="en-GB"/>
        </w:rPr>
        <w:t>Hence</w:t>
      </w:r>
      <w:r w:rsidR="001903F2">
        <w:rPr>
          <w:lang w:eastAsia="en-GB"/>
        </w:rPr>
        <w:t xml:space="preserve"> for this </w:t>
      </w:r>
      <w:r w:rsidR="003C148B">
        <w:rPr>
          <w:lang w:eastAsia="en-GB"/>
        </w:rPr>
        <w:t>scenario</w:t>
      </w:r>
      <w:r>
        <w:rPr>
          <w:lang w:eastAsia="en-GB"/>
        </w:rPr>
        <w:t>, we propose the following</w:t>
      </w:r>
      <w:r w:rsidR="009A4433">
        <w:rPr>
          <w:lang w:eastAsia="en-GB"/>
        </w:rPr>
        <w:t>:</w:t>
      </w:r>
    </w:p>
    <w:p w14:paraId="4232DCB1" w14:textId="77777777" w:rsidR="009A4433" w:rsidRDefault="00457521" w:rsidP="00141906">
      <w:pPr>
        <w:spacing w:after="240"/>
        <w:rPr>
          <w:b/>
          <w:lang w:eastAsia="en-GB"/>
        </w:rPr>
      </w:pPr>
      <w:r w:rsidRPr="004526E2">
        <w:rPr>
          <w:b/>
          <w:lang w:eastAsia="en-GB"/>
        </w:rPr>
        <w:t xml:space="preserve">Proposal </w:t>
      </w:r>
      <w:r w:rsidR="0044553D">
        <w:rPr>
          <w:b/>
          <w:lang w:eastAsia="en-GB"/>
        </w:rPr>
        <w:t>8</w:t>
      </w:r>
      <w:r w:rsidRPr="004526E2">
        <w:rPr>
          <w:b/>
          <w:lang w:eastAsia="en-GB"/>
        </w:rPr>
        <w:t>-1:</w:t>
      </w:r>
      <w:r w:rsidR="006E40D7" w:rsidRPr="004526E2">
        <w:rPr>
          <w:b/>
          <w:lang w:eastAsia="en-GB"/>
        </w:rPr>
        <w:t xml:space="preserve"> </w:t>
      </w:r>
      <w:r w:rsidR="00EE7315" w:rsidRPr="004526E2">
        <w:rPr>
          <w:b/>
          <w:lang w:eastAsia="en-GB"/>
        </w:rPr>
        <w:t xml:space="preserve">To introduce the FDM solution for the Scenario 2-2 firstly by extending the </w:t>
      </w:r>
      <w:proofErr w:type="spellStart"/>
      <w:r w:rsidR="00EE7315" w:rsidRPr="004526E2">
        <w:rPr>
          <w:b/>
          <w:i/>
        </w:rPr>
        <w:t>affectedCarrierFreqCombList</w:t>
      </w:r>
      <w:proofErr w:type="spellEnd"/>
      <w:r w:rsidR="00EE7315" w:rsidRPr="004526E2">
        <w:rPr>
          <w:b/>
        </w:rPr>
        <w:t xml:space="preserve"> in the UAI message for IDC and the </w:t>
      </w:r>
      <w:proofErr w:type="spellStart"/>
      <w:r w:rsidR="00EE7315" w:rsidRPr="004526E2">
        <w:rPr>
          <w:b/>
          <w:lang w:eastAsia="en-GB"/>
        </w:rPr>
        <w:t>affectedCarrierFreqCombMRDC</w:t>
      </w:r>
      <w:proofErr w:type="spellEnd"/>
      <w:r w:rsidR="00EE7315" w:rsidRPr="004526E2">
        <w:rPr>
          <w:b/>
          <w:lang w:eastAsia="en-GB"/>
        </w:rPr>
        <w:t xml:space="preserve"> in the CG-</w:t>
      </w:r>
      <w:proofErr w:type="spellStart"/>
      <w:r w:rsidR="00EE7315" w:rsidRPr="004526E2">
        <w:rPr>
          <w:b/>
          <w:lang w:eastAsia="en-GB"/>
        </w:rPr>
        <w:t>configInfo</w:t>
      </w:r>
      <w:proofErr w:type="spellEnd"/>
      <w:r w:rsidR="00EE7315" w:rsidRPr="004526E2">
        <w:rPr>
          <w:b/>
          <w:lang w:eastAsia="en-GB"/>
        </w:rPr>
        <w:t xml:space="preserve"> to cover the NR-DC case. </w:t>
      </w:r>
    </w:p>
    <w:p w14:paraId="6BC7F5AF" w14:textId="34495CB3" w:rsidR="002C3F71" w:rsidRPr="009A4433" w:rsidRDefault="002C3F71" w:rsidP="002C3F71">
      <w:pPr>
        <w:rPr>
          <w:rFonts w:cs="Times New Roman"/>
          <w:b/>
          <w:szCs w:val="21"/>
        </w:rPr>
      </w:pPr>
      <w:r w:rsidRPr="002B5B4B">
        <w:rPr>
          <w:rFonts w:cs="Times New Roman"/>
          <w:b/>
          <w:szCs w:val="21"/>
        </w:rPr>
        <w:t>Pr</w:t>
      </w:r>
      <w:r w:rsidRPr="009A4433">
        <w:rPr>
          <w:rFonts w:cs="Times New Roman"/>
          <w:b/>
          <w:szCs w:val="21"/>
        </w:rPr>
        <w:t xml:space="preserve">oposal </w:t>
      </w:r>
      <w:r w:rsidR="0044553D" w:rsidRPr="009A4433">
        <w:rPr>
          <w:rFonts w:cs="Times New Roman"/>
          <w:b/>
          <w:szCs w:val="21"/>
        </w:rPr>
        <w:t>8</w:t>
      </w:r>
      <w:r w:rsidRPr="002B5B4B">
        <w:rPr>
          <w:rFonts w:cs="Times New Roman"/>
          <w:b/>
          <w:szCs w:val="21"/>
        </w:rPr>
        <w:t>-</w:t>
      </w:r>
      <w:r w:rsidRPr="009A4433">
        <w:rPr>
          <w:rFonts w:cs="Times New Roman"/>
          <w:b/>
          <w:szCs w:val="21"/>
        </w:rPr>
        <w:t>2:</w:t>
      </w:r>
      <w:r w:rsidRPr="009A4433">
        <w:rPr>
          <w:rFonts w:cs="Times New Roman"/>
          <w:szCs w:val="21"/>
        </w:rPr>
        <w:t xml:space="preserve"> </w:t>
      </w:r>
      <w:r w:rsidRPr="009A4433">
        <w:rPr>
          <w:rFonts w:cs="Times New Roman"/>
          <w:b/>
          <w:szCs w:val="21"/>
        </w:rPr>
        <w:t>To</w:t>
      </w:r>
      <w:r w:rsidR="00C25B74" w:rsidRPr="009A4433">
        <w:rPr>
          <w:rFonts w:cs="Times New Roman"/>
          <w:b/>
          <w:szCs w:val="21"/>
        </w:rPr>
        <w:t xml:space="preserve"> further</w:t>
      </w:r>
      <w:r w:rsidRPr="009A4433">
        <w:rPr>
          <w:rFonts w:cs="Times New Roman"/>
          <w:b/>
          <w:szCs w:val="21"/>
        </w:rPr>
        <w:t xml:space="preserve"> support the FDM enhancement as in Proposal </w:t>
      </w:r>
      <w:r w:rsidR="0044553D" w:rsidRPr="009A4433">
        <w:rPr>
          <w:rFonts w:cs="Times New Roman"/>
          <w:b/>
          <w:szCs w:val="21"/>
        </w:rPr>
        <w:t>3</w:t>
      </w:r>
      <w:r w:rsidRPr="009A4433">
        <w:rPr>
          <w:rFonts w:cs="Times New Roman"/>
          <w:b/>
          <w:szCs w:val="21"/>
        </w:rPr>
        <w:t xml:space="preserve"> and </w:t>
      </w:r>
      <w:r w:rsidR="0044553D" w:rsidRPr="009A4433">
        <w:rPr>
          <w:rFonts w:cs="Times New Roman"/>
          <w:b/>
          <w:szCs w:val="21"/>
        </w:rPr>
        <w:t>4</w:t>
      </w:r>
      <w:r w:rsidRPr="009A4433">
        <w:rPr>
          <w:rFonts w:cs="Times New Roman"/>
          <w:b/>
          <w:szCs w:val="21"/>
        </w:rPr>
        <w:t xml:space="preserve"> for scenario 2-</w:t>
      </w:r>
      <w:r w:rsidR="00C25B74" w:rsidRPr="009A4433">
        <w:rPr>
          <w:rFonts w:cs="Times New Roman"/>
          <w:b/>
          <w:szCs w:val="21"/>
        </w:rPr>
        <w:t>2</w:t>
      </w:r>
      <w:r w:rsidRPr="009A4433">
        <w:rPr>
          <w:rFonts w:cs="Times New Roman"/>
          <w:b/>
          <w:szCs w:val="21"/>
        </w:rPr>
        <w:t>:</w:t>
      </w:r>
    </w:p>
    <w:p w14:paraId="06D7EBFB" w14:textId="374E78BE" w:rsidR="002C3F71" w:rsidRPr="00141906" w:rsidRDefault="002C3F71" w:rsidP="004526E2">
      <w:pPr>
        <w:pStyle w:val="ListParagraph"/>
        <w:numPr>
          <w:ilvl w:val="0"/>
          <w:numId w:val="20"/>
        </w:numPr>
        <w:ind w:leftChars="0"/>
        <w:rPr>
          <w:rFonts w:ascii="Times New Roman" w:hAnsi="Times New Roman"/>
          <w:b/>
          <w:sz w:val="21"/>
          <w:szCs w:val="21"/>
        </w:rPr>
      </w:pPr>
      <w:r w:rsidRPr="00141906">
        <w:rPr>
          <w:rFonts w:ascii="Times New Roman" w:eastAsiaTheme="minorEastAsia" w:hAnsi="Times New Roman"/>
          <w:b/>
          <w:sz w:val="21"/>
          <w:szCs w:val="21"/>
        </w:rPr>
        <w:t xml:space="preserve">When the SN provide configurations for IDC to the MN via the CG-Config, </w:t>
      </w:r>
      <w:r w:rsidRPr="00141906">
        <w:rPr>
          <w:rFonts w:ascii="Times New Roman" w:hAnsi="Times New Roman"/>
          <w:b/>
          <w:sz w:val="21"/>
          <w:szCs w:val="21"/>
        </w:rPr>
        <w:t xml:space="preserve">the SN includes the enhanced IDC related configurations as given in </w:t>
      </w:r>
      <w:r w:rsidR="00770DF3" w:rsidRPr="00141906">
        <w:rPr>
          <w:rFonts w:ascii="Times New Roman" w:hAnsi="Times New Roman"/>
          <w:b/>
          <w:sz w:val="21"/>
          <w:szCs w:val="21"/>
        </w:rPr>
        <w:t xml:space="preserve">Proposal </w:t>
      </w:r>
      <w:r w:rsidR="0044553D" w:rsidRPr="00141906">
        <w:rPr>
          <w:rFonts w:ascii="Times New Roman" w:hAnsi="Times New Roman"/>
          <w:b/>
          <w:sz w:val="21"/>
          <w:szCs w:val="21"/>
        </w:rPr>
        <w:t>3</w:t>
      </w:r>
      <w:r w:rsidRPr="00141906">
        <w:rPr>
          <w:rFonts w:ascii="Times New Roman" w:hAnsi="Times New Roman"/>
          <w:b/>
          <w:sz w:val="21"/>
          <w:szCs w:val="21"/>
        </w:rPr>
        <w:t xml:space="preserve">, and the MN provides such configurations to the UE in the </w:t>
      </w:r>
      <w:proofErr w:type="spellStart"/>
      <w:r w:rsidRPr="00141906">
        <w:rPr>
          <w:rFonts w:ascii="Times New Roman" w:hAnsi="Times New Roman"/>
          <w:b/>
          <w:sz w:val="21"/>
          <w:szCs w:val="21"/>
        </w:rPr>
        <w:t>otherConfig</w:t>
      </w:r>
      <w:proofErr w:type="spellEnd"/>
    </w:p>
    <w:p w14:paraId="4CA8423B" w14:textId="121E09FC" w:rsidR="001903F2" w:rsidRPr="002C3F71" w:rsidRDefault="002C3F71" w:rsidP="004526E2">
      <w:pPr>
        <w:pStyle w:val="ListParagraph"/>
        <w:numPr>
          <w:ilvl w:val="0"/>
          <w:numId w:val="20"/>
        </w:numPr>
        <w:ind w:leftChars="0"/>
        <w:rPr>
          <w:b/>
        </w:rPr>
      </w:pPr>
      <w:r w:rsidRPr="00141906">
        <w:rPr>
          <w:rFonts w:ascii="Times New Roman" w:hAnsi="Times New Roman"/>
          <w:b/>
          <w:sz w:val="21"/>
          <w:szCs w:val="21"/>
        </w:rPr>
        <w:t xml:space="preserve">When the UE </w:t>
      </w:r>
      <w:r w:rsidRPr="00141906">
        <w:rPr>
          <w:rFonts w:ascii="Times New Roman" w:eastAsiaTheme="minorEastAsia" w:hAnsi="Times New Roman"/>
          <w:b/>
          <w:sz w:val="21"/>
          <w:szCs w:val="21"/>
        </w:rPr>
        <w:t xml:space="preserve">detects the IDC issues for </w:t>
      </w:r>
      <w:r w:rsidR="00C25B74" w:rsidRPr="00141906">
        <w:rPr>
          <w:rFonts w:ascii="Times New Roman" w:eastAsiaTheme="minorEastAsia" w:hAnsi="Times New Roman"/>
          <w:b/>
          <w:sz w:val="21"/>
          <w:szCs w:val="21"/>
        </w:rPr>
        <w:t>NR</w:t>
      </w:r>
      <w:r w:rsidRPr="00141906">
        <w:rPr>
          <w:rFonts w:ascii="Times New Roman" w:eastAsiaTheme="minorEastAsia" w:hAnsi="Times New Roman"/>
          <w:b/>
          <w:sz w:val="21"/>
          <w:szCs w:val="21"/>
        </w:rPr>
        <w:t xml:space="preserve">-DC, for the affected NR frequency, the UE reports the </w:t>
      </w:r>
      <w:r w:rsidRPr="00141906">
        <w:rPr>
          <w:rFonts w:ascii="Times New Roman" w:hAnsi="Times New Roman"/>
          <w:b/>
          <w:sz w:val="21"/>
          <w:szCs w:val="21"/>
        </w:rPr>
        <w:t xml:space="preserve">IDC assistance information with more granular/enhanced FDM information as given in proposal </w:t>
      </w:r>
      <w:r w:rsidR="0044553D" w:rsidRPr="00141906">
        <w:rPr>
          <w:rFonts w:ascii="Times New Roman" w:hAnsi="Times New Roman"/>
          <w:b/>
          <w:sz w:val="21"/>
          <w:szCs w:val="21"/>
        </w:rPr>
        <w:t>4</w:t>
      </w:r>
      <w:r w:rsidRPr="00141906">
        <w:rPr>
          <w:rFonts w:ascii="Times New Roman" w:hAnsi="Times New Roman"/>
          <w:b/>
          <w:sz w:val="21"/>
          <w:szCs w:val="21"/>
        </w:rPr>
        <w:t xml:space="preserve"> to the MN, and MN transfer such information to the SN in the CG-</w:t>
      </w:r>
      <w:proofErr w:type="spellStart"/>
      <w:r w:rsidRPr="00141906">
        <w:rPr>
          <w:rFonts w:ascii="Times New Roman" w:hAnsi="Times New Roman"/>
          <w:b/>
          <w:sz w:val="21"/>
          <w:szCs w:val="21"/>
        </w:rPr>
        <w:t>ConfigInfo</w:t>
      </w:r>
      <w:proofErr w:type="spellEnd"/>
      <w:r w:rsidRPr="00141906">
        <w:rPr>
          <w:rFonts w:ascii="Times New Roman" w:hAnsi="Times New Roman"/>
          <w:b/>
          <w:sz w:val="21"/>
          <w:szCs w:val="21"/>
        </w:rPr>
        <w:t>.</w:t>
      </w:r>
    </w:p>
    <w:p w14:paraId="72209F58" w14:textId="172D3C05" w:rsidR="00164F70" w:rsidRDefault="00164F70" w:rsidP="00164F70">
      <w:pPr>
        <w:pStyle w:val="Heading2"/>
      </w:pPr>
      <w:r>
        <w:rPr>
          <w:rFonts w:hint="eastAsia"/>
        </w:rPr>
        <w:t>2</w:t>
      </w:r>
      <w:r>
        <w:t>.</w:t>
      </w:r>
      <w:r w:rsidR="0044553D">
        <w:t>4</w:t>
      </w:r>
      <w:r>
        <w:t xml:space="preserve"> gNB actions on receiving enhanced assistance information</w:t>
      </w:r>
    </w:p>
    <w:p w14:paraId="55172012" w14:textId="3D645ADE" w:rsidR="00AA1667" w:rsidRDefault="00164F70" w:rsidP="00164F70">
      <w:pPr>
        <w:rPr>
          <w:lang w:val="en-GB" w:eastAsia="ja-JP"/>
        </w:rPr>
      </w:pPr>
      <w:r>
        <w:rPr>
          <w:lang w:val="en-GB" w:eastAsia="ja-JP"/>
        </w:rPr>
        <w:t xml:space="preserve">On </w:t>
      </w:r>
      <w:r w:rsidR="00AA1667">
        <w:rPr>
          <w:lang w:val="en-GB" w:eastAsia="ja-JP"/>
        </w:rPr>
        <w:t>receiving</w:t>
      </w:r>
      <w:r>
        <w:rPr>
          <w:lang w:val="en-GB" w:eastAsia="ja-JP"/>
        </w:rPr>
        <w:t xml:space="preserve"> the enhanced </w:t>
      </w:r>
      <w:r w:rsidR="00AA1667">
        <w:rPr>
          <w:lang w:val="en-GB" w:eastAsia="ja-JP"/>
        </w:rPr>
        <w:t xml:space="preserve">IDC </w:t>
      </w:r>
      <w:r>
        <w:rPr>
          <w:lang w:val="en-GB" w:eastAsia="ja-JP"/>
        </w:rPr>
        <w:t xml:space="preserve">assistance information </w:t>
      </w:r>
      <w:r w:rsidR="00AA1667">
        <w:rPr>
          <w:lang w:val="en-GB" w:eastAsia="ja-JP"/>
        </w:rPr>
        <w:t xml:space="preserve">for the UE </w:t>
      </w:r>
      <w:r>
        <w:rPr>
          <w:lang w:val="en-GB" w:eastAsia="ja-JP"/>
        </w:rPr>
        <w:t xml:space="preserve">about the </w:t>
      </w:r>
      <w:r w:rsidRPr="00164F70">
        <w:rPr>
          <w:lang w:val="en-GB" w:eastAsia="ja-JP"/>
        </w:rPr>
        <w:t>actually affected bandwidth and the central frequency of this bandwidth for each interference direction separately</w:t>
      </w:r>
      <w:r w:rsidR="00AA1667">
        <w:rPr>
          <w:lang w:val="en-GB" w:eastAsia="ja-JP"/>
        </w:rPr>
        <w:t>,</w:t>
      </w:r>
      <w:r>
        <w:rPr>
          <w:lang w:val="en-GB" w:eastAsia="ja-JP"/>
        </w:rPr>
        <w:t xml:space="preserve"> the gNB can apply scheduling restrictions </w:t>
      </w:r>
      <w:r w:rsidR="00AA1667">
        <w:rPr>
          <w:lang w:val="en-GB" w:eastAsia="ja-JP"/>
        </w:rPr>
        <w:t>to not schedule the UE on the actual affected frequency ranges or on the PRBs within the actual affected frequency ranges to resolve the IDC issue depending upon its implementation.</w:t>
      </w:r>
    </w:p>
    <w:p w14:paraId="6CA88487" w14:textId="17F119E5" w:rsidR="00AA1667" w:rsidRDefault="00AA1667" w:rsidP="00164F70">
      <w:pPr>
        <w:rPr>
          <w:lang w:val="en-GB" w:eastAsia="ja-JP"/>
        </w:rPr>
      </w:pPr>
    </w:p>
    <w:p w14:paraId="177B1A92" w14:textId="3B1E1011" w:rsidR="00AA1667" w:rsidRPr="00AA1667" w:rsidRDefault="00AA1667" w:rsidP="00164F70">
      <w:pPr>
        <w:rPr>
          <w:b/>
          <w:lang w:val="en-GB" w:eastAsia="ja-JP"/>
        </w:rPr>
      </w:pPr>
      <w:r w:rsidRPr="00AA1667">
        <w:rPr>
          <w:b/>
          <w:lang w:val="en-GB" w:eastAsia="ja-JP"/>
        </w:rPr>
        <w:t xml:space="preserve">Proposal </w:t>
      </w:r>
      <w:r w:rsidR="0044553D">
        <w:rPr>
          <w:b/>
          <w:lang w:val="en-GB" w:eastAsia="ja-JP"/>
        </w:rPr>
        <w:t>9</w:t>
      </w:r>
      <w:r w:rsidRPr="00AA1667">
        <w:rPr>
          <w:b/>
          <w:lang w:val="en-GB" w:eastAsia="ja-JP"/>
        </w:rPr>
        <w:t>: gNB can apply scheduling restrictions to not schedule the UE on the actual affected frequency ranges or on the PRBs within the actual affected frequency ranges to resolve the IDC issue depending upon its implementation</w:t>
      </w:r>
    </w:p>
    <w:p w14:paraId="3B0A7311" w14:textId="7273ECB2" w:rsidR="00502F1A" w:rsidRDefault="00AA1667" w:rsidP="004526E2">
      <w:pPr>
        <w:pStyle w:val="Heading1"/>
        <w:numPr>
          <w:ilvl w:val="0"/>
          <w:numId w:val="10"/>
        </w:numPr>
        <w:rPr>
          <w:lang w:eastAsia="zh-CN"/>
        </w:rPr>
      </w:pPr>
      <w:r>
        <w:t xml:space="preserve"> </w:t>
      </w:r>
      <w:r w:rsidR="006E40D7">
        <w:rPr>
          <w:lang w:eastAsia="zh-CN"/>
        </w:rPr>
        <w:t>Conclusions</w:t>
      </w:r>
    </w:p>
    <w:p w14:paraId="7C521B6A" w14:textId="77777777" w:rsidR="00611390" w:rsidRDefault="003F3B14" w:rsidP="00502F1A">
      <w:r w:rsidRPr="003F3B14">
        <w:t>In this contribution we first discuss the benefit of having unified FDM solution for both serving and non-serving frequencies, followed by further details about option 1</w:t>
      </w:r>
      <w:r>
        <w:t xml:space="preserve"> -  </w:t>
      </w:r>
      <w:r w:rsidRPr="005D6EC8">
        <w:rPr>
          <w:bCs/>
          <w:color w:val="000000" w:themeColor="text1"/>
        </w:rPr>
        <w:t>Central frequency + Bandwidth of the actual affected frequency range</w:t>
      </w:r>
      <w:r w:rsidRPr="003F3B14">
        <w:t>. We then provide the details of how the Option 1 can be applied for all the IDC scenarios agreed to be addressed in R18.</w:t>
      </w:r>
      <w:r>
        <w:t xml:space="preserve"> </w:t>
      </w:r>
    </w:p>
    <w:p w14:paraId="1DC662CC" w14:textId="77777777" w:rsidR="00611390" w:rsidRDefault="00611390" w:rsidP="00502F1A"/>
    <w:p w14:paraId="7FA5593B" w14:textId="74F2B2E8" w:rsidR="003F3B14" w:rsidRDefault="003F3B14" w:rsidP="00502F1A">
      <w:r>
        <w:t>We have the following proposals and observations.</w:t>
      </w:r>
    </w:p>
    <w:p w14:paraId="4F61FE34" w14:textId="17CBAFC9" w:rsidR="003F3B14" w:rsidRDefault="003F3B14" w:rsidP="00502F1A"/>
    <w:p w14:paraId="79187B58" w14:textId="099564F9" w:rsidR="003F3B14" w:rsidRPr="00B00BEF" w:rsidRDefault="003F3B14" w:rsidP="003F3B14">
      <w:pPr>
        <w:rPr>
          <w:b/>
          <w:u w:val="single"/>
          <w:lang w:val="en-GB"/>
        </w:rPr>
      </w:pPr>
      <w:r w:rsidRPr="003F3B14">
        <w:rPr>
          <w:b/>
          <w:u w:val="single"/>
          <w:lang w:val="en-GB"/>
        </w:rPr>
        <w:t>Benefits for having unified FDM solution for both serving and non-serving frequencies</w:t>
      </w:r>
    </w:p>
    <w:p w14:paraId="7C2380FE" w14:textId="434F60B3" w:rsidR="003F3B14" w:rsidRDefault="003F3B14" w:rsidP="00502F1A"/>
    <w:p w14:paraId="655EB010" w14:textId="07F20A8D" w:rsidR="003F3B14" w:rsidRDefault="003F3B14" w:rsidP="003F3B14">
      <w:pPr>
        <w:rPr>
          <w:b/>
          <w:szCs w:val="21"/>
        </w:rPr>
      </w:pPr>
      <w:r w:rsidRPr="00D51F3D">
        <w:rPr>
          <w:b/>
          <w:szCs w:val="21"/>
        </w:rPr>
        <w:t xml:space="preserve">Observation 1 -  UE reporting more granular information than just ARFCN for the non-serving frequency will help the gNB to make more accurate decision on whether to HO the UE to the target frequency or add the target frequency </w:t>
      </w:r>
      <w:r>
        <w:rPr>
          <w:b/>
          <w:szCs w:val="21"/>
        </w:rPr>
        <w:t xml:space="preserve">cell as </w:t>
      </w:r>
      <w:proofErr w:type="spellStart"/>
      <w:r w:rsidRPr="00D51F3D">
        <w:rPr>
          <w:b/>
          <w:szCs w:val="21"/>
        </w:rPr>
        <w:t>SCell</w:t>
      </w:r>
      <w:proofErr w:type="spellEnd"/>
      <w:r w:rsidRPr="00D51F3D">
        <w:rPr>
          <w:b/>
          <w:szCs w:val="21"/>
        </w:rPr>
        <w:t xml:space="preserve"> for the UE </w:t>
      </w:r>
      <w:r>
        <w:rPr>
          <w:b/>
          <w:szCs w:val="21"/>
        </w:rPr>
        <w:t>if</w:t>
      </w:r>
      <w:r w:rsidRPr="00D51F3D">
        <w:rPr>
          <w:b/>
          <w:szCs w:val="21"/>
        </w:rPr>
        <w:t xml:space="preserve"> only part of the non-serving frequency </w:t>
      </w:r>
      <w:r>
        <w:rPr>
          <w:b/>
          <w:szCs w:val="21"/>
        </w:rPr>
        <w:t>is</w:t>
      </w:r>
      <w:r w:rsidRPr="00D51F3D">
        <w:rPr>
          <w:b/>
          <w:szCs w:val="21"/>
        </w:rPr>
        <w:t xml:space="preserve"> affected by the IDC issue.</w:t>
      </w:r>
    </w:p>
    <w:p w14:paraId="61527751" w14:textId="77777777" w:rsidR="003F3B14" w:rsidRDefault="003F3B14" w:rsidP="003F3B14">
      <w:pPr>
        <w:rPr>
          <w:b/>
          <w:szCs w:val="21"/>
        </w:rPr>
      </w:pPr>
      <w:r w:rsidRPr="00D51F3D">
        <w:rPr>
          <w:b/>
          <w:szCs w:val="21"/>
        </w:rPr>
        <w:t xml:space="preserve">Proposal </w:t>
      </w:r>
      <w:r>
        <w:rPr>
          <w:b/>
          <w:szCs w:val="21"/>
        </w:rPr>
        <w:t>1</w:t>
      </w:r>
      <w:r w:rsidRPr="00D51F3D">
        <w:rPr>
          <w:b/>
          <w:szCs w:val="21"/>
        </w:rPr>
        <w:t xml:space="preserve"> </w:t>
      </w:r>
      <w:r>
        <w:rPr>
          <w:b/>
          <w:szCs w:val="21"/>
        </w:rPr>
        <w:t>Keep the previous RAN2 agreement</w:t>
      </w:r>
      <w:r w:rsidRPr="00D51F3D">
        <w:rPr>
          <w:b/>
          <w:szCs w:val="21"/>
        </w:rPr>
        <w:t xml:space="preserve"> that </w:t>
      </w:r>
      <w:r>
        <w:rPr>
          <w:b/>
          <w:szCs w:val="21"/>
        </w:rPr>
        <w:t>“</w:t>
      </w:r>
      <w:r w:rsidRPr="00EA620A">
        <w:rPr>
          <w:b/>
          <w:szCs w:val="21"/>
        </w:rPr>
        <w:t>Granular indications of the affected NR frequency reported for IDC issue needs to consider both serving and non-serving frequency as in the legacy FDM solution</w:t>
      </w:r>
      <w:r>
        <w:rPr>
          <w:b/>
          <w:szCs w:val="21"/>
        </w:rPr>
        <w:t xml:space="preserve">”, or rewording it to the proposal 1 as proposed by the rapporteur of </w:t>
      </w:r>
      <w:r w:rsidRPr="00EA620A">
        <w:rPr>
          <w:b/>
          <w:szCs w:val="21"/>
        </w:rPr>
        <w:t>[Post119-e][650]</w:t>
      </w:r>
      <w:r>
        <w:rPr>
          <w:b/>
          <w:szCs w:val="21"/>
        </w:rPr>
        <w:t xml:space="preserve"> email discussion</w:t>
      </w:r>
      <w:r w:rsidRPr="00EA620A">
        <w:rPr>
          <w:b/>
          <w:szCs w:val="21"/>
        </w:rPr>
        <w:t>, without spending time on re-discussin</w:t>
      </w:r>
      <w:r>
        <w:rPr>
          <w:b/>
          <w:szCs w:val="21"/>
        </w:rPr>
        <w:t>g</w:t>
      </w:r>
      <w:r w:rsidRPr="00EA620A">
        <w:rPr>
          <w:b/>
          <w:szCs w:val="21"/>
        </w:rPr>
        <w:t xml:space="preserve"> the issue</w:t>
      </w:r>
      <w:r w:rsidRPr="00D51F3D">
        <w:rPr>
          <w:b/>
          <w:szCs w:val="21"/>
        </w:rPr>
        <w:t>.</w:t>
      </w:r>
    </w:p>
    <w:p w14:paraId="6B8B7D4A" w14:textId="406CB6AE" w:rsidR="003F3B14" w:rsidRDefault="003F3B14" w:rsidP="003F3B14">
      <w:pPr>
        <w:rPr>
          <w:b/>
          <w:szCs w:val="21"/>
        </w:rPr>
      </w:pPr>
    </w:p>
    <w:p w14:paraId="630DECE4" w14:textId="77777777" w:rsidR="003F3B14" w:rsidRPr="008337C6" w:rsidRDefault="003F3B14" w:rsidP="003F3B14">
      <w:pPr>
        <w:rPr>
          <w:b/>
          <w:szCs w:val="21"/>
        </w:rPr>
      </w:pPr>
      <w:r w:rsidRPr="008337C6">
        <w:rPr>
          <w:b/>
          <w:szCs w:val="21"/>
        </w:rPr>
        <w:t xml:space="preserve">Proposal </w:t>
      </w:r>
      <w:r>
        <w:rPr>
          <w:b/>
          <w:szCs w:val="21"/>
        </w:rPr>
        <w:t>2</w:t>
      </w:r>
      <w:r w:rsidRPr="008337C6">
        <w:rPr>
          <w:b/>
          <w:szCs w:val="21"/>
        </w:rPr>
        <w:t xml:space="preserve"> </w:t>
      </w:r>
      <w:r>
        <w:rPr>
          <w:b/>
          <w:szCs w:val="21"/>
        </w:rPr>
        <w:t>A</w:t>
      </w:r>
      <w:r w:rsidRPr="008337C6">
        <w:rPr>
          <w:b/>
          <w:szCs w:val="21"/>
        </w:rPr>
        <w:t xml:space="preserve">dopt Option 1 - </w:t>
      </w:r>
      <w:r w:rsidRPr="008337C6">
        <w:rPr>
          <w:b/>
          <w:bCs/>
          <w:color w:val="000000" w:themeColor="text1"/>
        </w:rPr>
        <w:t xml:space="preserve">Central frequency + Bandwidth of the actual affected frequency range </w:t>
      </w:r>
      <w:r w:rsidRPr="008337C6">
        <w:rPr>
          <w:b/>
          <w:szCs w:val="21"/>
        </w:rPr>
        <w:t>for reporting for FDM enhancements in R18.</w:t>
      </w:r>
    </w:p>
    <w:p w14:paraId="25A91817" w14:textId="77777777" w:rsidR="003F3B14" w:rsidRDefault="003F3B14" w:rsidP="003F3B14">
      <w:pPr>
        <w:rPr>
          <w:b/>
          <w:szCs w:val="21"/>
        </w:rPr>
      </w:pPr>
    </w:p>
    <w:p w14:paraId="3F8B7E5D" w14:textId="2320CE14" w:rsidR="00611390" w:rsidRPr="00B00BEF" w:rsidRDefault="00611390" w:rsidP="00611390">
      <w:pPr>
        <w:rPr>
          <w:b/>
          <w:u w:val="single"/>
          <w:lang w:val="en-GB"/>
        </w:rPr>
      </w:pPr>
      <w:r w:rsidRPr="00611390">
        <w:rPr>
          <w:b/>
          <w:u w:val="single"/>
          <w:lang w:val="en-GB"/>
        </w:rPr>
        <w:t>Details of FDM Enhancement for Option 1</w:t>
      </w:r>
    </w:p>
    <w:p w14:paraId="573D8E5D" w14:textId="0B1E7CC9" w:rsidR="003F3B14" w:rsidRDefault="003F3B14" w:rsidP="00502F1A"/>
    <w:p w14:paraId="1826FF5A" w14:textId="77777777" w:rsidR="00611390" w:rsidRDefault="00611390" w:rsidP="00611390">
      <w:pPr>
        <w:spacing w:beforeLines="50" w:before="120"/>
        <w:rPr>
          <w:b/>
        </w:rPr>
      </w:pPr>
      <w:r w:rsidRPr="00122B1D">
        <w:rPr>
          <w:b/>
        </w:rPr>
        <w:t xml:space="preserve">Proposal </w:t>
      </w:r>
      <w:r>
        <w:rPr>
          <w:b/>
        </w:rPr>
        <w:t>3</w:t>
      </w:r>
      <w:r w:rsidRPr="00122B1D">
        <w:rPr>
          <w:b/>
        </w:rPr>
        <w:t>:</w:t>
      </w:r>
      <w:r>
        <w:rPr>
          <w:b/>
        </w:rPr>
        <w:t xml:space="preserve"> For each </w:t>
      </w:r>
      <w:r w:rsidRPr="00122B1D">
        <w:rPr>
          <w:b/>
        </w:rPr>
        <w:t xml:space="preserve">candidate serving frequency (center frequency), the gNB </w:t>
      </w:r>
      <w:r>
        <w:rPr>
          <w:b/>
        </w:rPr>
        <w:t>will</w:t>
      </w:r>
      <w:r w:rsidRPr="00122B1D">
        <w:rPr>
          <w:b/>
        </w:rPr>
        <w:t xml:space="preserve"> configure the candidate bandwidth</w:t>
      </w:r>
      <w:r>
        <w:rPr>
          <w:b/>
        </w:rPr>
        <w:t xml:space="preserve">, the combination of </w:t>
      </w:r>
      <w:r w:rsidRPr="00122B1D">
        <w:rPr>
          <w:b/>
        </w:rPr>
        <w:t xml:space="preserve">which </w:t>
      </w:r>
      <w:r>
        <w:rPr>
          <w:b/>
        </w:rPr>
        <w:t xml:space="preserve">is used to indicate the </w:t>
      </w:r>
      <w:r w:rsidRPr="000A7772">
        <w:rPr>
          <w:b/>
        </w:rPr>
        <w:t>frequency range</w:t>
      </w:r>
      <w:r w:rsidRPr="00122B1D">
        <w:rPr>
          <w:b/>
        </w:rPr>
        <w:t xml:space="preserve"> </w:t>
      </w:r>
      <w:r>
        <w:rPr>
          <w:b/>
        </w:rPr>
        <w:t xml:space="preserve">of the corresponding candidate serving frequency </w:t>
      </w:r>
      <w:r w:rsidRPr="00122B1D">
        <w:rPr>
          <w:b/>
        </w:rPr>
        <w:t>the UE is request to report IDC issues</w:t>
      </w:r>
    </w:p>
    <w:p w14:paraId="2BA5F14E" w14:textId="58BD6EF9" w:rsidR="00611390" w:rsidRDefault="00611390" w:rsidP="00502F1A"/>
    <w:p w14:paraId="0AE5CE19" w14:textId="77777777" w:rsidR="00611390" w:rsidRDefault="00611390" w:rsidP="00611390">
      <w:pPr>
        <w:spacing w:beforeLines="50" w:before="120"/>
        <w:rPr>
          <w:b/>
        </w:rPr>
      </w:pPr>
      <w:r w:rsidRPr="00A4233F">
        <w:rPr>
          <w:b/>
        </w:rPr>
        <w:t xml:space="preserve">Proposal </w:t>
      </w:r>
      <w:r>
        <w:rPr>
          <w:b/>
        </w:rPr>
        <w:t>4</w:t>
      </w:r>
      <w:r w:rsidRPr="00A4233F">
        <w:rPr>
          <w:b/>
        </w:rPr>
        <w:t xml:space="preserve">: </w:t>
      </w:r>
      <w:r>
        <w:rPr>
          <w:b/>
        </w:rPr>
        <w:t xml:space="preserve">For each affected frequency, if the actual affected frequency range is within the frequency range that is configured by the gNB, </w:t>
      </w:r>
      <w:r w:rsidRPr="00A4233F">
        <w:rPr>
          <w:b/>
        </w:rPr>
        <w:t>UE reports the actual affected bandwidth and the central frequency of this bandwidth for each interference direction</w:t>
      </w:r>
      <w:r>
        <w:rPr>
          <w:b/>
        </w:rPr>
        <w:t xml:space="preserve"> i.e. interference from NR TX to non-3GPP RX and </w:t>
      </w:r>
      <w:r w:rsidRPr="00913EB9">
        <w:rPr>
          <w:b/>
        </w:rPr>
        <w:t>non-3GPP TX to NR RX</w:t>
      </w:r>
      <w:r w:rsidRPr="00A4233F">
        <w:rPr>
          <w:b/>
        </w:rPr>
        <w:t xml:space="preserve"> </w:t>
      </w:r>
      <w:r>
        <w:rPr>
          <w:b/>
        </w:rPr>
        <w:t>respectively.</w:t>
      </w:r>
    </w:p>
    <w:p w14:paraId="765736FF" w14:textId="406D935E" w:rsidR="00611390" w:rsidRDefault="00611390" w:rsidP="00502F1A"/>
    <w:p w14:paraId="46BB5DF5" w14:textId="1D104D8F" w:rsidR="00611390" w:rsidRDefault="00611390" w:rsidP="00502F1A"/>
    <w:p w14:paraId="16C99787" w14:textId="0EE30647" w:rsidR="00611390" w:rsidRDefault="00611390" w:rsidP="00611390">
      <w:pPr>
        <w:rPr>
          <w:b/>
          <w:u w:val="single"/>
          <w:lang w:val="en-GB"/>
        </w:rPr>
      </w:pPr>
      <w:r w:rsidRPr="00B00BEF">
        <w:rPr>
          <w:b/>
          <w:u w:val="single"/>
          <w:lang w:val="en-GB"/>
        </w:rPr>
        <w:t>FDM Enhancement for Scenario 1-1</w:t>
      </w:r>
    </w:p>
    <w:p w14:paraId="36747DB4" w14:textId="77777777" w:rsidR="00611390" w:rsidRPr="00B00BEF" w:rsidRDefault="00611390" w:rsidP="00611390">
      <w:pPr>
        <w:rPr>
          <w:b/>
          <w:u w:val="single"/>
          <w:lang w:val="en-GB"/>
        </w:rPr>
      </w:pPr>
    </w:p>
    <w:p w14:paraId="6432E0B2" w14:textId="77777777" w:rsidR="00611390" w:rsidRPr="00141906" w:rsidRDefault="00611390" w:rsidP="00611390">
      <w:pPr>
        <w:rPr>
          <w:b/>
          <w:szCs w:val="21"/>
        </w:rPr>
      </w:pPr>
      <w:r w:rsidRPr="00141906">
        <w:rPr>
          <w:b/>
          <w:szCs w:val="21"/>
        </w:rPr>
        <w:t xml:space="preserve">Proposal 5: To support the FDM enhancement for scenario 1-1 same procedure as described in Proposal 3 and 4 is applied </w:t>
      </w:r>
    </w:p>
    <w:p w14:paraId="49B64E6D" w14:textId="77777777" w:rsidR="00611390" w:rsidRDefault="00611390" w:rsidP="00611390">
      <w:pPr>
        <w:rPr>
          <w:b/>
        </w:rPr>
      </w:pPr>
    </w:p>
    <w:p w14:paraId="71EB752D" w14:textId="77777777" w:rsidR="00611390" w:rsidRDefault="00611390" w:rsidP="00611390">
      <w:pPr>
        <w:rPr>
          <w:b/>
          <w:u w:val="single"/>
          <w:lang w:val="en-GB"/>
        </w:rPr>
      </w:pPr>
      <w:r w:rsidRPr="00B00BEF">
        <w:rPr>
          <w:b/>
          <w:u w:val="single"/>
          <w:lang w:val="en-GB"/>
        </w:rPr>
        <w:t>FDM Enhancement for Scenario 1-</w:t>
      </w:r>
      <w:r>
        <w:rPr>
          <w:b/>
          <w:u w:val="single"/>
          <w:lang w:val="en-GB"/>
        </w:rPr>
        <w:t>2</w:t>
      </w:r>
    </w:p>
    <w:p w14:paraId="70FB276C" w14:textId="77777777" w:rsidR="00611390" w:rsidRDefault="00611390" w:rsidP="00611390">
      <w:pPr>
        <w:rPr>
          <w:b/>
          <w:u w:val="single"/>
          <w:lang w:val="en-GB"/>
        </w:rPr>
      </w:pPr>
    </w:p>
    <w:p w14:paraId="1CBEE6C4" w14:textId="77777777" w:rsidR="00611390" w:rsidRPr="009A4433" w:rsidRDefault="00611390" w:rsidP="00611390">
      <w:pPr>
        <w:rPr>
          <w:b/>
          <w:szCs w:val="21"/>
        </w:rPr>
      </w:pPr>
      <w:r w:rsidRPr="009A4433">
        <w:rPr>
          <w:b/>
          <w:szCs w:val="21"/>
        </w:rPr>
        <w:t xml:space="preserve">Proposal 6: To support the FDM enhancement as in Proposal 3 and 4 for scenario 1-2, </w:t>
      </w:r>
    </w:p>
    <w:p w14:paraId="62A79C55" w14:textId="77777777" w:rsidR="00611390" w:rsidRPr="009A4433" w:rsidRDefault="00611390" w:rsidP="00611390">
      <w:pPr>
        <w:pStyle w:val="ListParagraph"/>
        <w:numPr>
          <w:ilvl w:val="0"/>
          <w:numId w:val="18"/>
        </w:numPr>
        <w:spacing w:after="0" w:afterAutospacing="0"/>
        <w:ind w:leftChars="0"/>
        <w:rPr>
          <w:b/>
          <w:sz w:val="21"/>
          <w:szCs w:val="21"/>
        </w:rPr>
      </w:pPr>
      <w:r w:rsidRPr="009A4433">
        <w:rPr>
          <w:b/>
          <w:sz w:val="21"/>
          <w:szCs w:val="21"/>
        </w:rPr>
        <w:t>If SRB3 is not configured: SN configures the enhanced IDC related configuration as given in proposal 3 via SRB1 by using the RRCReconfiguration container to the UE, and UE reports the IDC assistance information with more granular/enhanced FDM information as given in proposal 4 to SN via SRB1 by reporting UAI in the ULInformationTransferMRDC message</w:t>
      </w:r>
    </w:p>
    <w:p w14:paraId="53254C62" w14:textId="77777777" w:rsidR="00611390" w:rsidRPr="00C728BC" w:rsidRDefault="00611390" w:rsidP="00611390">
      <w:pPr>
        <w:pStyle w:val="ListParagraph"/>
        <w:numPr>
          <w:ilvl w:val="0"/>
          <w:numId w:val="18"/>
        </w:numPr>
        <w:spacing w:after="0" w:afterAutospacing="0"/>
        <w:ind w:leftChars="0"/>
        <w:rPr>
          <w:b/>
          <w:szCs w:val="22"/>
        </w:rPr>
      </w:pPr>
      <w:r w:rsidRPr="009A4433">
        <w:rPr>
          <w:b/>
          <w:sz w:val="21"/>
          <w:szCs w:val="21"/>
        </w:rPr>
        <w:t>if SRB3 is configured: SN configures the enhanced IDC related configuration as given in proposal 3 to the UE via SRB3, and UE reports the IDC assistance information with more granular/enhanced FDM information as given in proposal 4 to SN via SRB3</w:t>
      </w:r>
    </w:p>
    <w:p w14:paraId="7F6BA108" w14:textId="77777777" w:rsidR="00611390" w:rsidRPr="00B00BEF" w:rsidRDefault="00611390" w:rsidP="00611390">
      <w:pPr>
        <w:rPr>
          <w:b/>
          <w:u w:val="single"/>
          <w:lang w:val="en-GB"/>
        </w:rPr>
      </w:pPr>
    </w:p>
    <w:p w14:paraId="5F0D9FFF" w14:textId="77777777" w:rsidR="00611390" w:rsidRDefault="00611390" w:rsidP="00611390">
      <w:pPr>
        <w:rPr>
          <w:b/>
          <w:u w:val="single"/>
          <w:lang w:val="en-GB"/>
        </w:rPr>
      </w:pPr>
      <w:r w:rsidRPr="00B00BEF">
        <w:rPr>
          <w:b/>
          <w:u w:val="single"/>
          <w:lang w:val="en-GB"/>
        </w:rPr>
        <w:t xml:space="preserve">FDM Enhancement for Scenario </w:t>
      </w:r>
      <w:r>
        <w:rPr>
          <w:b/>
          <w:u w:val="single"/>
          <w:lang w:val="en-GB"/>
        </w:rPr>
        <w:t>2-1</w:t>
      </w:r>
    </w:p>
    <w:p w14:paraId="28BFEFA7" w14:textId="77777777" w:rsidR="00611390" w:rsidRDefault="00611390" w:rsidP="00611390">
      <w:pPr>
        <w:rPr>
          <w:b/>
        </w:rPr>
      </w:pPr>
    </w:p>
    <w:p w14:paraId="49A45584" w14:textId="77777777" w:rsidR="00611390" w:rsidRPr="009A4433" w:rsidRDefault="00611390" w:rsidP="00611390">
      <w:pPr>
        <w:rPr>
          <w:rFonts w:cs="Times New Roman"/>
          <w:b/>
          <w:szCs w:val="21"/>
        </w:rPr>
      </w:pPr>
      <w:r w:rsidRPr="009A4433">
        <w:rPr>
          <w:rFonts w:cs="Times New Roman"/>
          <w:b/>
          <w:szCs w:val="21"/>
        </w:rPr>
        <w:t>Proposal 7:</w:t>
      </w:r>
      <w:r w:rsidRPr="009A4433">
        <w:rPr>
          <w:rFonts w:cs="Times New Roman"/>
          <w:szCs w:val="21"/>
        </w:rPr>
        <w:t xml:space="preserve"> </w:t>
      </w:r>
      <w:r w:rsidRPr="009A4433">
        <w:rPr>
          <w:rFonts w:cs="Times New Roman"/>
          <w:b/>
          <w:szCs w:val="21"/>
        </w:rPr>
        <w:t>To support the FDM enhancement as in Proposal 3 and 4 for scenario 2-1:</w:t>
      </w:r>
    </w:p>
    <w:p w14:paraId="40719048" w14:textId="77777777" w:rsidR="00611390" w:rsidRPr="00141906" w:rsidRDefault="00611390" w:rsidP="00611390">
      <w:pPr>
        <w:pStyle w:val="ListParagraph"/>
        <w:numPr>
          <w:ilvl w:val="0"/>
          <w:numId w:val="20"/>
        </w:numPr>
        <w:spacing w:after="0" w:afterAutospacing="0"/>
        <w:ind w:leftChars="0"/>
        <w:rPr>
          <w:rFonts w:ascii="Times New Roman" w:hAnsi="Times New Roman"/>
          <w:b/>
          <w:sz w:val="21"/>
          <w:szCs w:val="21"/>
        </w:rPr>
      </w:pPr>
      <w:r w:rsidRPr="00141906">
        <w:rPr>
          <w:rFonts w:ascii="Times New Roman" w:eastAsiaTheme="minorEastAsia" w:hAnsi="Times New Roman"/>
          <w:b/>
          <w:sz w:val="21"/>
          <w:szCs w:val="21"/>
        </w:rPr>
        <w:t xml:space="preserve">When the SN provide configurations for IDC to the MN via the CG-Config, </w:t>
      </w:r>
      <w:r w:rsidRPr="00141906">
        <w:rPr>
          <w:rFonts w:ascii="Times New Roman" w:hAnsi="Times New Roman"/>
          <w:b/>
          <w:sz w:val="21"/>
          <w:szCs w:val="21"/>
        </w:rPr>
        <w:t xml:space="preserve">the SN includes the enhanced IDC related configurations as given in proposal 3, and the MN provides such configurations to the UE in the </w:t>
      </w:r>
      <w:proofErr w:type="spellStart"/>
      <w:r w:rsidRPr="00141906">
        <w:rPr>
          <w:rFonts w:ascii="Times New Roman" w:hAnsi="Times New Roman"/>
          <w:b/>
          <w:sz w:val="21"/>
          <w:szCs w:val="21"/>
        </w:rPr>
        <w:t>otherConfig</w:t>
      </w:r>
      <w:proofErr w:type="spellEnd"/>
    </w:p>
    <w:p w14:paraId="5FB8E023" w14:textId="77777777" w:rsidR="00611390" w:rsidRDefault="00611390" w:rsidP="00611390">
      <w:pPr>
        <w:pStyle w:val="ListParagraph"/>
        <w:numPr>
          <w:ilvl w:val="0"/>
          <w:numId w:val="20"/>
        </w:numPr>
        <w:spacing w:after="0" w:afterAutospacing="0"/>
        <w:ind w:leftChars="0"/>
      </w:pPr>
      <w:r w:rsidRPr="00141906">
        <w:rPr>
          <w:rFonts w:ascii="Times New Roman" w:hAnsi="Times New Roman"/>
          <w:b/>
          <w:sz w:val="21"/>
          <w:szCs w:val="21"/>
        </w:rPr>
        <w:t xml:space="preserve">When the UE </w:t>
      </w:r>
      <w:r w:rsidRPr="00141906">
        <w:rPr>
          <w:rFonts w:ascii="Times New Roman" w:eastAsiaTheme="minorEastAsia" w:hAnsi="Times New Roman"/>
          <w:b/>
          <w:sz w:val="21"/>
          <w:szCs w:val="21"/>
        </w:rPr>
        <w:t xml:space="preserve">detects the IDC issues for EN-DC, for the affected NR frequency, the UE reports the </w:t>
      </w:r>
      <w:r w:rsidRPr="00141906">
        <w:rPr>
          <w:rFonts w:ascii="Times New Roman" w:hAnsi="Times New Roman"/>
          <w:b/>
          <w:sz w:val="21"/>
          <w:szCs w:val="21"/>
        </w:rPr>
        <w:t>IDC assistance information with more granular/enhanced FDM information as given in proposal 4 to the MN, and MN transfer such information to the SN in the CG-</w:t>
      </w:r>
      <w:proofErr w:type="spellStart"/>
      <w:r w:rsidRPr="00141906">
        <w:rPr>
          <w:rFonts w:ascii="Times New Roman" w:hAnsi="Times New Roman"/>
          <w:b/>
          <w:sz w:val="21"/>
          <w:szCs w:val="21"/>
        </w:rPr>
        <w:t>ConfigInfo</w:t>
      </w:r>
      <w:proofErr w:type="spellEnd"/>
      <w:r w:rsidRPr="00141906">
        <w:rPr>
          <w:rFonts w:ascii="Times New Roman" w:hAnsi="Times New Roman"/>
          <w:b/>
          <w:sz w:val="21"/>
          <w:szCs w:val="21"/>
        </w:rPr>
        <w:t>.</w:t>
      </w:r>
    </w:p>
    <w:p w14:paraId="6B825E0A" w14:textId="77777777" w:rsidR="00611390" w:rsidRDefault="00611390" w:rsidP="00611390"/>
    <w:p w14:paraId="035E99C7" w14:textId="77777777" w:rsidR="00611390" w:rsidRDefault="00611390" w:rsidP="00611390"/>
    <w:p w14:paraId="5F3E0962" w14:textId="77777777" w:rsidR="00611390" w:rsidRDefault="00611390" w:rsidP="00611390">
      <w:pPr>
        <w:rPr>
          <w:b/>
          <w:u w:val="single"/>
          <w:lang w:val="en-GB"/>
        </w:rPr>
      </w:pPr>
      <w:r w:rsidRPr="00B00BEF">
        <w:rPr>
          <w:b/>
          <w:u w:val="single"/>
          <w:lang w:val="en-GB"/>
        </w:rPr>
        <w:t xml:space="preserve">FDM Enhancement for Scenario </w:t>
      </w:r>
      <w:r>
        <w:rPr>
          <w:b/>
          <w:u w:val="single"/>
          <w:lang w:val="en-GB"/>
        </w:rPr>
        <w:t>2-2</w:t>
      </w:r>
    </w:p>
    <w:p w14:paraId="69FAE73D" w14:textId="77777777" w:rsidR="00611390" w:rsidRDefault="00611390" w:rsidP="00611390"/>
    <w:p w14:paraId="5A222337" w14:textId="77777777" w:rsidR="00611390" w:rsidRDefault="00611390" w:rsidP="00611390">
      <w:pPr>
        <w:spacing w:after="240"/>
        <w:rPr>
          <w:b/>
          <w:lang w:eastAsia="en-GB"/>
        </w:rPr>
      </w:pPr>
      <w:r w:rsidRPr="004526E2">
        <w:rPr>
          <w:b/>
          <w:lang w:eastAsia="en-GB"/>
        </w:rPr>
        <w:t xml:space="preserve">Proposal </w:t>
      </w:r>
      <w:r>
        <w:rPr>
          <w:b/>
          <w:lang w:eastAsia="en-GB"/>
        </w:rPr>
        <w:t>8</w:t>
      </w:r>
      <w:r w:rsidRPr="004526E2">
        <w:rPr>
          <w:b/>
          <w:lang w:eastAsia="en-GB"/>
        </w:rPr>
        <w:t xml:space="preserve">-1: To introduce the FDM solution for the Scenario 2-2 firstly by extending the </w:t>
      </w:r>
      <w:proofErr w:type="spellStart"/>
      <w:r w:rsidRPr="004526E2">
        <w:rPr>
          <w:b/>
          <w:i/>
        </w:rPr>
        <w:t>affectedCarrierFreqCombList</w:t>
      </w:r>
      <w:proofErr w:type="spellEnd"/>
      <w:r w:rsidRPr="004526E2">
        <w:rPr>
          <w:b/>
        </w:rPr>
        <w:t xml:space="preserve"> in the UAI message for IDC and the </w:t>
      </w:r>
      <w:proofErr w:type="spellStart"/>
      <w:r w:rsidRPr="004526E2">
        <w:rPr>
          <w:b/>
          <w:lang w:eastAsia="en-GB"/>
        </w:rPr>
        <w:t>affectedCarrierFreqCombMRDC</w:t>
      </w:r>
      <w:proofErr w:type="spellEnd"/>
      <w:r w:rsidRPr="004526E2">
        <w:rPr>
          <w:b/>
          <w:lang w:eastAsia="en-GB"/>
        </w:rPr>
        <w:t xml:space="preserve"> in the CG-</w:t>
      </w:r>
      <w:proofErr w:type="spellStart"/>
      <w:r w:rsidRPr="004526E2">
        <w:rPr>
          <w:b/>
          <w:lang w:eastAsia="en-GB"/>
        </w:rPr>
        <w:t>configInfo</w:t>
      </w:r>
      <w:proofErr w:type="spellEnd"/>
      <w:r w:rsidRPr="004526E2">
        <w:rPr>
          <w:b/>
          <w:lang w:eastAsia="en-GB"/>
        </w:rPr>
        <w:t xml:space="preserve"> to cover the NR-DC case. </w:t>
      </w:r>
    </w:p>
    <w:p w14:paraId="5DD13129" w14:textId="77777777" w:rsidR="00611390" w:rsidRDefault="00611390" w:rsidP="00611390">
      <w:pPr>
        <w:rPr>
          <w:rFonts w:cs="Times New Roman"/>
          <w:b/>
          <w:szCs w:val="21"/>
        </w:rPr>
      </w:pPr>
    </w:p>
    <w:p w14:paraId="6C917892" w14:textId="77777777" w:rsidR="00611390" w:rsidRDefault="00611390" w:rsidP="00611390">
      <w:pPr>
        <w:rPr>
          <w:rFonts w:cs="Times New Roman"/>
          <w:b/>
          <w:szCs w:val="21"/>
        </w:rPr>
      </w:pPr>
    </w:p>
    <w:p w14:paraId="4C25BD3E" w14:textId="77777777" w:rsidR="00611390" w:rsidRDefault="00611390" w:rsidP="00611390">
      <w:pPr>
        <w:rPr>
          <w:rFonts w:cs="Times New Roman"/>
          <w:b/>
          <w:szCs w:val="21"/>
        </w:rPr>
      </w:pPr>
    </w:p>
    <w:p w14:paraId="6AADE1B3" w14:textId="23CB5FC5" w:rsidR="00611390" w:rsidRPr="009A4433" w:rsidRDefault="00611390" w:rsidP="00611390">
      <w:pPr>
        <w:rPr>
          <w:rFonts w:cs="Times New Roman"/>
          <w:b/>
          <w:szCs w:val="21"/>
        </w:rPr>
      </w:pPr>
      <w:r w:rsidRPr="002B5B4B">
        <w:rPr>
          <w:rFonts w:cs="Times New Roman"/>
          <w:b/>
          <w:szCs w:val="21"/>
        </w:rPr>
        <w:t>Pr</w:t>
      </w:r>
      <w:r w:rsidRPr="009A4433">
        <w:rPr>
          <w:rFonts w:cs="Times New Roman"/>
          <w:b/>
          <w:szCs w:val="21"/>
        </w:rPr>
        <w:t>oposal 8</w:t>
      </w:r>
      <w:r w:rsidRPr="002B5B4B">
        <w:rPr>
          <w:rFonts w:cs="Times New Roman"/>
          <w:b/>
          <w:szCs w:val="21"/>
        </w:rPr>
        <w:t>-</w:t>
      </w:r>
      <w:r w:rsidRPr="009A4433">
        <w:rPr>
          <w:rFonts w:cs="Times New Roman"/>
          <w:b/>
          <w:szCs w:val="21"/>
        </w:rPr>
        <w:t>2:</w:t>
      </w:r>
      <w:r w:rsidRPr="009A4433">
        <w:rPr>
          <w:rFonts w:cs="Times New Roman"/>
          <w:szCs w:val="21"/>
        </w:rPr>
        <w:t xml:space="preserve"> </w:t>
      </w:r>
      <w:r w:rsidRPr="009A4433">
        <w:rPr>
          <w:rFonts w:cs="Times New Roman"/>
          <w:b/>
          <w:szCs w:val="21"/>
        </w:rPr>
        <w:t>To further support the FDM enhancement as in Proposal 3 and 4 for scenario 2-2:</w:t>
      </w:r>
    </w:p>
    <w:p w14:paraId="2BB87F5F" w14:textId="77777777" w:rsidR="00611390" w:rsidRPr="00141906" w:rsidRDefault="00611390" w:rsidP="00611390">
      <w:pPr>
        <w:pStyle w:val="ListParagraph"/>
        <w:numPr>
          <w:ilvl w:val="0"/>
          <w:numId w:val="20"/>
        </w:numPr>
        <w:ind w:leftChars="0"/>
        <w:rPr>
          <w:rFonts w:ascii="Times New Roman" w:hAnsi="Times New Roman"/>
          <w:b/>
          <w:sz w:val="21"/>
          <w:szCs w:val="21"/>
        </w:rPr>
      </w:pPr>
      <w:r w:rsidRPr="00141906">
        <w:rPr>
          <w:rFonts w:ascii="Times New Roman" w:eastAsiaTheme="minorEastAsia" w:hAnsi="Times New Roman"/>
          <w:b/>
          <w:sz w:val="21"/>
          <w:szCs w:val="21"/>
        </w:rPr>
        <w:lastRenderedPageBreak/>
        <w:t xml:space="preserve">When the SN provide configurations for IDC to the MN via the CG-Config, </w:t>
      </w:r>
      <w:r w:rsidRPr="00141906">
        <w:rPr>
          <w:rFonts w:ascii="Times New Roman" w:hAnsi="Times New Roman"/>
          <w:b/>
          <w:sz w:val="21"/>
          <w:szCs w:val="21"/>
        </w:rPr>
        <w:t xml:space="preserve">the SN includes the enhanced IDC related configurations as given in Proposal 3, and the MN provides such configurations to the UE in the </w:t>
      </w:r>
      <w:proofErr w:type="spellStart"/>
      <w:r w:rsidRPr="00141906">
        <w:rPr>
          <w:rFonts w:ascii="Times New Roman" w:hAnsi="Times New Roman"/>
          <w:b/>
          <w:sz w:val="21"/>
          <w:szCs w:val="21"/>
        </w:rPr>
        <w:t>otherConfig</w:t>
      </w:r>
      <w:proofErr w:type="spellEnd"/>
    </w:p>
    <w:p w14:paraId="5FFB3634" w14:textId="77777777" w:rsidR="00611390" w:rsidRPr="002C3F71" w:rsidRDefault="00611390" w:rsidP="00611390">
      <w:pPr>
        <w:pStyle w:val="ListParagraph"/>
        <w:numPr>
          <w:ilvl w:val="0"/>
          <w:numId w:val="20"/>
        </w:numPr>
        <w:ind w:leftChars="0"/>
        <w:rPr>
          <w:b/>
        </w:rPr>
      </w:pPr>
      <w:r w:rsidRPr="00141906">
        <w:rPr>
          <w:rFonts w:ascii="Times New Roman" w:hAnsi="Times New Roman"/>
          <w:b/>
          <w:sz w:val="21"/>
          <w:szCs w:val="21"/>
        </w:rPr>
        <w:t xml:space="preserve">When the UE </w:t>
      </w:r>
      <w:r w:rsidRPr="00141906">
        <w:rPr>
          <w:rFonts w:ascii="Times New Roman" w:eastAsiaTheme="minorEastAsia" w:hAnsi="Times New Roman"/>
          <w:b/>
          <w:sz w:val="21"/>
          <w:szCs w:val="21"/>
        </w:rPr>
        <w:t xml:space="preserve">detects the IDC issues for NR-DC, for the affected NR frequency, the UE reports the </w:t>
      </w:r>
      <w:r w:rsidRPr="00141906">
        <w:rPr>
          <w:rFonts w:ascii="Times New Roman" w:hAnsi="Times New Roman"/>
          <w:b/>
          <w:sz w:val="21"/>
          <w:szCs w:val="21"/>
        </w:rPr>
        <w:t>IDC assistance information with more granular/enhanced FDM information as given in proposal 4 to the MN, and MN transfer such information to the SN in the CG-</w:t>
      </w:r>
      <w:proofErr w:type="spellStart"/>
      <w:r w:rsidRPr="00141906">
        <w:rPr>
          <w:rFonts w:ascii="Times New Roman" w:hAnsi="Times New Roman"/>
          <w:b/>
          <w:sz w:val="21"/>
          <w:szCs w:val="21"/>
        </w:rPr>
        <w:t>ConfigInfo</w:t>
      </w:r>
      <w:proofErr w:type="spellEnd"/>
      <w:r w:rsidRPr="00141906">
        <w:rPr>
          <w:rFonts w:ascii="Times New Roman" w:hAnsi="Times New Roman"/>
          <w:b/>
          <w:sz w:val="21"/>
          <w:szCs w:val="21"/>
        </w:rPr>
        <w:t>.</w:t>
      </w:r>
    </w:p>
    <w:p w14:paraId="3D967468" w14:textId="77777777" w:rsidR="00611390" w:rsidRDefault="00611390" w:rsidP="00611390">
      <w:pPr>
        <w:rPr>
          <w:b/>
          <w:u w:val="single"/>
          <w:lang w:val="en-GB"/>
        </w:rPr>
      </w:pPr>
      <w:r w:rsidRPr="00B00BEF">
        <w:rPr>
          <w:b/>
          <w:u w:val="single"/>
          <w:lang w:val="en-GB"/>
        </w:rPr>
        <w:t>gNB actions on receiving enhanced assistance information</w:t>
      </w:r>
    </w:p>
    <w:p w14:paraId="4FFC9139" w14:textId="77777777" w:rsidR="00611390" w:rsidRDefault="00611390" w:rsidP="00611390"/>
    <w:p w14:paraId="2004A722" w14:textId="77777777" w:rsidR="00611390" w:rsidRPr="00AA1667" w:rsidRDefault="00611390" w:rsidP="00611390">
      <w:pPr>
        <w:rPr>
          <w:b/>
          <w:lang w:val="en-GB" w:eastAsia="ja-JP"/>
        </w:rPr>
      </w:pPr>
      <w:r w:rsidRPr="00AA1667">
        <w:rPr>
          <w:b/>
          <w:lang w:val="en-GB" w:eastAsia="ja-JP"/>
        </w:rPr>
        <w:t xml:space="preserve">Proposal </w:t>
      </w:r>
      <w:r>
        <w:rPr>
          <w:b/>
          <w:lang w:val="en-GB" w:eastAsia="ja-JP"/>
        </w:rPr>
        <w:t>9</w:t>
      </w:r>
      <w:r w:rsidRPr="00AA1667">
        <w:rPr>
          <w:b/>
          <w:lang w:val="en-GB" w:eastAsia="ja-JP"/>
        </w:rPr>
        <w:t>: gNB can apply scheduling restrictions to not schedule the UE on the actual affected frequency ranges or on the PRBs within the actual affected frequency ranges to resolve the IDC issue depending upon its implementation</w:t>
      </w:r>
    </w:p>
    <w:p w14:paraId="157C1A5A" w14:textId="550BB966" w:rsidR="00611390" w:rsidRDefault="00611390" w:rsidP="00502F1A"/>
    <w:p w14:paraId="79732FC2" w14:textId="34DDC63A" w:rsidR="003C5A0F" w:rsidRDefault="003C5A0F" w:rsidP="004526E2">
      <w:pPr>
        <w:pStyle w:val="Heading1"/>
        <w:numPr>
          <w:ilvl w:val="0"/>
          <w:numId w:val="10"/>
        </w:numPr>
        <w:rPr>
          <w:lang w:eastAsia="zh-CN"/>
        </w:rPr>
      </w:pPr>
      <w:r>
        <w:rPr>
          <w:lang w:eastAsia="zh-CN"/>
        </w:rPr>
        <w:t>References</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47808515" w:rsidR="006E40D7" w:rsidRPr="006E40D7" w:rsidRDefault="0055689C" w:rsidP="004526E2">
      <w:pPr>
        <w:pStyle w:val="References"/>
        <w:numPr>
          <w:ilvl w:val="0"/>
          <w:numId w:val="11"/>
        </w:numPr>
      </w:pPr>
      <w:bookmarkStart w:id="4" w:name="_Ref100839412"/>
      <w:r>
        <w:rPr>
          <w:kern w:val="2"/>
          <w:lang w:eastAsia="zh-CN"/>
        </w:rPr>
        <w:t xml:space="preserve">TS </w:t>
      </w:r>
      <w:r w:rsidR="006E40D7">
        <w:rPr>
          <w:kern w:val="2"/>
          <w:lang w:eastAsia="zh-CN"/>
        </w:rPr>
        <w:t>38.331</w:t>
      </w:r>
      <w:bookmarkEnd w:id="4"/>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035A9E">
        <w:rPr>
          <w:kern w:val="2"/>
          <w:lang w:eastAsia="zh-CN"/>
        </w:rPr>
        <w:t>1</w:t>
      </w:r>
      <w:r w:rsidR="0026041E">
        <w:rPr>
          <w:kern w:val="2"/>
          <w:lang w:eastAsia="zh-CN"/>
        </w:rPr>
        <w:t>.0</w:t>
      </w:r>
    </w:p>
    <w:p w14:paraId="12DB0E5D" w14:textId="40D01C38" w:rsidR="006E40D7" w:rsidRPr="00E9719F"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035A9E">
        <w:rPr>
          <w:kern w:val="2"/>
          <w:lang w:eastAsia="zh-CN"/>
        </w:rPr>
        <w:t>1</w:t>
      </w:r>
      <w:r w:rsidR="0026041E">
        <w:rPr>
          <w:kern w:val="2"/>
          <w:lang w:eastAsia="zh-CN"/>
        </w:rPr>
        <w:t>.0</w:t>
      </w:r>
    </w:p>
    <w:p w14:paraId="0AD75E0C" w14:textId="601028A6" w:rsidR="00E9719F" w:rsidRDefault="003F3B14" w:rsidP="004526E2">
      <w:pPr>
        <w:pStyle w:val="References"/>
        <w:numPr>
          <w:ilvl w:val="0"/>
          <w:numId w:val="11"/>
        </w:numPr>
      </w:pPr>
      <w:r w:rsidRPr="003F3B14">
        <w:t>R2-2208951</w:t>
      </w:r>
      <w:r>
        <w:t xml:space="preserve"> - Report of </w:t>
      </w:r>
      <w:r w:rsidR="00E9719F" w:rsidRPr="005D6EC8">
        <w:t xml:space="preserve">[AT119-e] [615] [IDC] FDM solution enhancements </w:t>
      </w:r>
      <w:r w:rsidR="00E9719F">
        <w:t>email discussion</w:t>
      </w:r>
    </w:p>
    <w:p w14:paraId="2C1228C2" w14:textId="65CB6E3F" w:rsidR="003F3B14" w:rsidRPr="003F3B14" w:rsidRDefault="003F3B14" w:rsidP="003F3B14">
      <w:pPr>
        <w:pStyle w:val="References"/>
        <w:numPr>
          <w:ilvl w:val="0"/>
          <w:numId w:val="11"/>
        </w:numPr>
        <w:rPr>
          <w:sz w:val="18"/>
        </w:rPr>
      </w:pPr>
      <w:r w:rsidRPr="003F3B14">
        <w:rPr>
          <w:szCs w:val="22"/>
        </w:rPr>
        <w:t>Report from [Post119-e][650][IDC] Comparison of FDM solutions</w:t>
      </w:r>
    </w:p>
    <w:p w14:paraId="532001D0" w14:textId="26B7693D" w:rsidR="0055689C" w:rsidRDefault="0055689C" w:rsidP="0026041E">
      <w:pPr>
        <w:pStyle w:val="References"/>
        <w:tabs>
          <w:tab w:val="clear" w:pos="360"/>
        </w:tabs>
        <w:ind w:left="420" w:firstLine="0"/>
      </w:pPr>
    </w:p>
    <w:sectPr w:rsidR="0055689C">
      <w:headerReference w:type="even"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1985B" w14:textId="77777777" w:rsidR="0085490B" w:rsidRDefault="0085490B">
      <w:r>
        <w:separator/>
      </w:r>
    </w:p>
  </w:endnote>
  <w:endnote w:type="continuationSeparator" w:id="0">
    <w:p w14:paraId="2FF013B6" w14:textId="77777777" w:rsidR="0085490B" w:rsidRDefault="0085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176D00" w:rsidRDefault="00176D00">
    <w:pPr>
      <w:pStyle w:val="Footer"/>
      <w:jc w:val="right"/>
    </w:pPr>
    <w:r>
      <w:fldChar w:fldCharType="begin"/>
    </w:r>
    <w:r>
      <w:instrText xml:space="preserve"> PAGE   \* MERGEFORMAT </w:instrText>
    </w:r>
    <w:r>
      <w:fldChar w:fldCharType="separate"/>
    </w:r>
    <w:r w:rsidR="008137A6">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EAA4C" w14:textId="77777777" w:rsidR="0085490B" w:rsidRDefault="0085490B">
      <w:r>
        <w:separator/>
      </w:r>
    </w:p>
  </w:footnote>
  <w:footnote w:type="continuationSeparator" w:id="0">
    <w:p w14:paraId="6EC06D24" w14:textId="77777777" w:rsidR="0085490B" w:rsidRDefault="00854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176D00" w:rsidRDefault="00176D00"/>
  <w:p w14:paraId="41EB02E3" w14:textId="77777777" w:rsidR="00176D00" w:rsidRDefault="00176D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0C16DE"/>
    <w:multiLevelType w:val="hybridMultilevel"/>
    <w:tmpl w:val="E10E9918"/>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F3FBB"/>
    <w:multiLevelType w:val="hybridMultilevel"/>
    <w:tmpl w:val="5BA076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23FCF"/>
    <w:multiLevelType w:val="hybridMultilevel"/>
    <w:tmpl w:val="3D069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A70A2D"/>
    <w:multiLevelType w:val="multilevel"/>
    <w:tmpl w:val="0C5CA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B7C015F"/>
    <w:multiLevelType w:val="hybridMultilevel"/>
    <w:tmpl w:val="AF4C94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8BA29AD"/>
    <w:multiLevelType w:val="hybridMultilevel"/>
    <w:tmpl w:val="53A09FE2"/>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534DB9"/>
    <w:multiLevelType w:val="hybridMultilevel"/>
    <w:tmpl w:val="DAD0EDC4"/>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9961ED"/>
    <w:multiLevelType w:val="hybridMultilevel"/>
    <w:tmpl w:val="221049AE"/>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A26C6C"/>
    <w:multiLevelType w:val="hybridMultilevel"/>
    <w:tmpl w:val="552A9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2A132F"/>
    <w:multiLevelType w:val="hybridMultilevel"/>
    <w:tmpl w:val="37AAD494"/>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F62D3B"/>
    <w:multiLevelType w:val="multilevel"/>
    <w:tmpl w:val="3182BBB2"/>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171A9C"/>
    <w:multiLevelType w:val="hybridMultilevel"/>
    <w:tmpl w:val="1F80FA90"/>
    <w:lvl w:ilvl="0" w:tplc="F25078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E77E39"/>
    <w:multiLevelType w:val="multilevel"/>
    <w:tmpl w:val="61A8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E640ACD"/>
    <w:multiLevelType w:val="hybridMultilevel"/>
    <w:tmpl w:val="EAA07DC0"/>
    <w:lvl w:ilvl="0" w:tplc="15384AB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4"/>
  </w:num>
  <w:num w:numId="4">
    <w:abstractNumId w:val="13"/>
  </w:num>
  <w:num w:numId="5">
    <w:abstractNumId w:val="21"/>
  </w:num>
  <w:num w:numId="6">
    <w:abstractNumId w:val="16"/>
  </w:num>
  <w:num w:numId="7">
    <w:abstractNumId w:val="9"/>
  </w:num>
  <w:num w:numId="8">
    <w:abstractNumId w:val="12"/>
  </w:num>
  <w:num w:numId="9">
    <w:abstractNumId w:val="10"/>
  </w:num>
  <w:num w:numId="10">
    <w:abstractNumId w:val="0"/>
  </w:num>
  <w:num w:numId="11">
    <w:abstractNumId w:val="11"/>
  </w:num>
  <w:num w:numId="12">
    <w:abstractNumId w:val="2"/>
  </w:num>
  <w:num w:numId="13">
    <w:abstractNumId w:val="20"/>
  </w:num>
  <w:num w:numId="14">
    <w:abstractNumId w:val="18"/>
  </w:num>
  <w:num w:numId="15">
    <w:abstractNumId w:val="19"/>
  </w:num>
  <w:num w:numId="16">
    <w:abstractNumId w:val="17"/>
  </w:num>
  <w:num w:numId="17">
    <w:abstractNumId w:val="22"/>
  </w:num>
  <w:num w:numId="18">
    <w:abstractNumId w:val="14"/>
  </w:num>
  <w:num w:numId="19">
    <w:abstractNumId w:val="1"/>
  </w:num>
  <w:num w:numId="20">
    <w:abstractNumId w:val="15"/>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
  </w:num>
  <w:num w:numId="34">
    <w:abstractNumId w:val="3"/>
  </w:num>
  <w:num w:numId="35">
    <w:abstractNumId w:val="7"/>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4186"/>
    <w:rsid w:val="000342F0"/>
    <w:rsid w:val="000343F1"/>
    <w:rsid w:val="00034DCC"/>
    <w:rsid w:val="0003599E"/>
    <w:rsid w:val="00035A9E"/>
    <w:rsid w:val="00036903"/>
    <w:rsid w:val="0003704E"/>
    <w:rsid w:val="00037675"/>
    <w:rsid w:val="00037787"/>
    <w:rsid w:val="00037A9E"/>
    <w:rsid w:val="00040732"/>
    <w:rsid w:val="000407CE"/>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89B"/>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A7772"/>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051"/>
    <w:rsid w:val="000B6522"/>
    <w:rsid w:val="000B685E"/>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0794"/>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906"/>
    <w:rsid w:val="00143206"/>
    <w:rsid w:val="0014406D"/>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5AC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224F"/>
    <w:rsid w:val="0018308A"/>
    <w:rsid w:val="001837F3"/>
    <w:rsid w:val="00184029"/>
    <w:rsid w:val="00184B45"/>
    <w:rsid w:val="00185BC2"/>
    <w:rsid w:val="001865B1"/>
    <w:rsid w:val="001903F2"/>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A63"/>
    <w:rsid w:val="001F6FEF"/>
    <w:rsid w:val="001F7A85"/>
    <w:rsid w:val="002002CC"/>
    <w:rsid w:val="0020139A"/>
    <w:rsid w:val="002019C2"/>
    <w:rsid w:val="002028F6"/>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5383"/>
    <w:rsid w:val="002B5B4B"/>
    <w:rsid w:val="002B6E30"/>
    <w:rsid w:val="002B75B4"/>
    <w:rsid w:val="002B75E2"/>
    <w:rsid w:val="002B7A5D"/>
    <w:rsid w:val="002C2576"/>
    <w:rsid w:val="002C2587"/>
    <w:rsid w:val="002C2782"/>
    <w:rsid w:val="002C34CC"/>
    <w:rsid w:val="002C3A4E"/>
    <w:rsid w:val="002C3F71"/>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1EF"/>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1DA"/>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53D0"/>
    <w:rsid w:val="00345597"/>
    <w:rsid w:val="00346B84"/>
    <w:rsid w:val="00346EDC"/>
    <w:rsid w:val="003474B9"/>
    <w:rsid w:val="0034773B"/>
    <w:rsid w:val="00347D49"/>
    <w:rsid w:val="0035018E"/>
    <w:rsid w:val="00350210"/>
    <w:rsid w:val="0035049F"/>
    <w:rsid w:val="00350E67"/>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3D3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414"/>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3951"/>
    <w:rsid w:val="003A434A"/>
    <w:rsid w:val="003A4DC6"/>
    <w:rsid w:val="003A5001"/>
    <w:rsid w:val="003A582E"/>
    <w:rsid w:val="003A5AD9"/>
    <w:rsid w:val="003A6045"/>
    <w:rsid w:val="003A61BC"/>
    <w:rsid w:val="003A639A"/>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B6E"/>
    <w:rsid w:val="00407F28"/>
    <w:rsid w:val="00410013"/>
    <w:rsid w:val="00410047"/>
    <w:rsid w:val="00410474"/>
    <w:rsid w:val="00410A40"/>
    <w:rsid w:val="00411624"/>
    <w:rsid w:val="00411CFF"/>
    <w:rsid w:val="004123B9"/>
    <w:rsid w:val="00413092"/>
    <w:rsid w:val="00413E36"/>
    <w:rsid w:val="004144DE"/>
    <w:rsid w:val="00414B30"/>
    <w:rsid w:val="00414E7B"/>
    <w:rsid w:val="00414FB7"/>
    <w:rsid w:val="00415840"/>
    <w:rsid w:val="00416206"/>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392B"/>
    <w:rsid w:val="004948B1"/>
    <w:rsid w:val="004956BE"/>
    <w:rsid w:val="004959B4"/>
    <w:rsid w:val="004961EC"/>
    <w:rsid w:val="004975A5"/>
    <w:rsid w:val="00497C2C"/>
    <w:rsid w:val="004A095B"/>
    <w:rsid w:val="004A26DC"/>
    <w:rsid w:val="004A3C33"/>
    <w:rsid w:val="004A4CFB"/>
    <w:rsid w:val="004A5045"/>
    <w:rsid w:val="004A5887"/>
    <w:rsid w:val="004A6317"/>
    <w:rsid w:val="004A688C"/>
    <w:rsid w:val="004A715C"/>
    <w:rsid w:val="004A735C"/>
    <w:rsid w:val="004A748D"/>
    <w:rsid w:val="004A75EC"/>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6660"/>
    <w:rsid w:val="00507C06"/>
    <w:rsid w:val="005105DB"/>
    <w:rsid w:val="00510DB0"/>
    <w:rsid w:val="00510FCF"/>
    <w:rsid w:val="00511094"/>
    <w:rsid w:val="00511B99"/>
    <w:rsid w:val="00515386"/>
    <w:rsid w:val="00517720"/>
    <w:rsid w:val="00517841"/>
    <w:rsid w:val="00517ED0"/>
    <w:rsid w:val="005201A7"/>
    <w:rsid w:val="005206C1"/>
    <w:rsid w:val="005225BB"/>
    <w:rsid w:val="00522DE3"/>
    <w:rsid w:val="005235C5"/>
    <w:rsid w:val="00524265"/>
    <w:rsid w:val="005249CD"/>
    <w:rsid w:val="00524B9F"/>
    <w:rsid w:val="0052708A"/>
    <w:rsid w:val="00527FA1"/>
    <w:rsid w:val="005301C1"/>
    <w:rsid w:val="00531A5A"/>
    <w:rsid w:val="00532A2E"/>
    <w:rsid w:val="00532D05"/>
    <w:rsid w:val="00532EBB"/>
    <w:rsid w:val="00533380"/>
    <w:rsid w:val="00533D95"/>
    <w:rsid w:val="00535BBC"/>
    <w:rsid w:val="00536657"/>
    <w:rsid w:val="005371DB"/>
    <w:rsid w:val="00537367"/>
    <w:rsid w:val="005376E7"/>
    <w:rsid w:val="00540552"/>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8C"/>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9EC"/>
    <w:rsid w:val="005B582A"/>
    <w:rsid w:val="005B6CB2"/>
    <w:rsid w:val="005B7593"/>
    <w:rsid w:val="005C04CC"/>
    <w:rsid w:val="005C0F8F"/>
    <w:rsid w:val="005C259A"/>
    <w:rsid w:val="005C2C33"/>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68A"/>
    <w:rsid w:val="00604D69"/>
    <w:rsid w:val="0060511D"/>
    <w:rsid w:val="006053AD"/>
    <w:rsid w:val="00606075"/>
    <w:rsid w:val="00610200"/>
    <w:rsid w:val="00610837"/>
    <w:rsid w:val="00611390"/>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BB7"/>
    <w:rsid w:val="006436ED"/>
    <w:rsid w:val="00644F83"/>
    <w:rsid w:val="00645E0E"/>
    <w:rsid w:val="00647EC6"/>
    <w:rsid w:val="006503E6"/>
    <w:rsid w:val="006511E8"/>
    <w:rsid w:val="00651D16"/>
    <w:rsid w:val="00653FF1"/>
    <w:rsid w:val="006542ED"/>
    <w:rsid w:val="00654A9F"/>
    <w:rsid w:val="00655031"/>
    <w:rsid w:val="006567E6"/>
    <w:rsid w:val="0065765C"/>
    <w:rsid w:val="00660419"/>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0DF3"/>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8E5"/>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97C"/>
    <w:rsid w:val="00822576"/>
    <w:rsid w:val="00822893"/>
    <w:rsid w:val="008242E0"/>
    <w:rsid w:val="00825ACE"/>
    <w:rsid w:val="00825D28"/>
    <w:rsid w:val="008265EE"/>
    <w:rsid w:val="00826602"/>
    <w:rsid w:val="00826776"/>
    <w:rsid w:val="008268E7"/>
    <w:rsid w:val="00826C5C"/>
    <w:rsid w:val="00827BFC"/>
    <w:rsid w:val="00830107"/>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0B"/>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F9C"/>
    <w:rsid w:val="008D14C6"/>
    <w:rsid w:val="008D229A"/>
    <w:rsid w:val="008D2540"/>
    <w:rsid w:val="008D35E7"/>
    <w:rsid w:val="008D4A63"/>
    <w:rsid w:val="008D653C"/>
    <w:rsid w:val="008D7117"/>
    <w:rsid w:val="008D788C"/>
    <w:rsid w:val="008E0A9E"/>
    <w:rsid w:val="008E1528"/>
    <w:rsid w:val="008E19FA"/>
    <w:rsid w:val="008E1C8A"/>
    <w:rsid w:val="008E34B7"/>
    <w:rsid w:val="008E4958"/>
    <w:rsid w:val="008E4B0E"/>
    <w:rsid w:val="008E4B55"/>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5FF"/>
    <w:rsid w:val="009628C0"/>
    <w:rsid w:val="00962B73"/>
    <w:rsid w:val="00965088"/>
    <w:rsid w:val="00965243"/>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227"/>
    <w:rsid w:val="00A315D2"/>
    <w:rsid w:val="00A31E83"/>
    <w:rsid w:val="00A327F4"/>
    <w:rsid w:val="00A3291C"/>
    <w:rsid w:val="00A34C36"/>
    <w:rsid w:val="00A4233F"/>
    <w:rsid w:val="00A4251F"/>
    <w:rsid w:val="00A42658"/>
    <w:rsid w:val="00A42EF4"/>
    <w:rsid w:val="00A4397E"/>
    <w:rsid w:val="00A45105"/>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258"/>
    <w:rsid w:val="00AC15B0"/>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F5"/>
    <w:rsid w:val="00AD59D0"/>
    <w:rsid w:val="00AD5CD1"/>
    <w:rsid w:val="00AD5EB1"/>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74C9"/>
    <w:rsid w:val="00AF778C"/>
    <w:rsid w:val="00B001FD"/>
    <w:rsid w:val="00B00BEF"/>
    <w:rsid w:val="00B0147E"/>
    <w:rsid w:val="00B02589"/>
    <w:rsid w:val="00B02A30"/>
    <w:rsid w:val="00B0330A"/>
    <w:rsid w:val="00B03FEC"/>
    <w:rsid w:val="00B04E99"/>
    <w:rsid w:val="00B05178"/>
    <w:rsid w:val="00B05320"/>
    <w:rsid w:val="00B06677"/>
    <w:rsid w:val="00B069F1"/>
    <w:rsid w:val="00B06D41"/>
    <w:rsid w:val="00B07603"/>
    <w:rsid w:val="00B0795A"/>
    <w:rsid w:val="00B10615"/>
    <w:rsid w:val="00B10BB8"/>
    <w:rsid w:val="00B111C7"/>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C2"/>
    <w:rsid w:val="00B7017C"/>
    <w:rsid w:val="00B70638"/>
    <w:rsid w:val="00B70A99"/>
    <w:rsid w:val="00B70ECD"/>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098A"/>
    <w:rsid w:val="00BB1270"/>
    <w:rsid w:val="00BB1B19"/>
    <w:rsid w:val="00BB1CCF"/>
    <w:rsid w:val="00BB2F72"/>
    <w:rsid w:val="00BB4946"/>
    <w:rsid w:val="00BB58E3"/>
    <w:rsid w:val="00BB5D02"/>
    <w:rsid w:val="00BB6CA9"/>
    <w:rsid w:val="00BB7A06"/>
    <w:rsid w:val="00BB7D48"/>
    <w:rsid w:val="00BC0AC5"/>
    <w:rsid w:val="00BC0F4D"/>
    <w:rsid w:val="00BC2C66"/>
    <w:rsid w:val="00BC3507"/>
    <w:rsid w:val="00BC3D5B"/>
    <w:rsid w:val="00BC502E"/>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F5D"/>
    <w:rsid w:val="00C24FF8"/>
    <w:rsid w:val="00C25B74"/>
    <w:rsid w:val="00C25FCB"/>
    <w:rsid w:val="00C261A8"/>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6607B"/>
    <w:rsid w:val="00C708F4"/>
    <w:rsid w:val="00C70D57"/>
    <w:rsid w:val="00C712A6"/>
    <w:rsid w:val="00C728BC"/>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4615"/>
    <w:rsid w:val="00CE4711"/>
    <w:rsid w:val="00CE4723"/>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486A"/>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F2C"/>
    <w:rsid w:val="00D519F0"/>
    <w:rsid w:val="00D51F19"/>
    <w:rsid w:val="00D51F3D"/>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0A3A"/>
    <w:rsid w:val="00DE4671"/>
    <w:rsid w:val="00DE4936"/>
    <w:rsid w:val="00DE5326"/>
    <w:rsid w:val="00DE5AC9"/>
    <w:rsid w:val="00DE6407"/>
    <w:rsid w:val="00DF0A15"/>
    <w:rsid w:val="00DF0E2B"/>
    <w:rsid w:val="00DF16A8"/>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254D"/>
    <w:rsid w:val="00E13787"/>
    <w:rsid w:val="00E13A27"/>
    <w:rsid w:val="00E171D1"/>
    <w:rsid w:val="00E204C0"/>
    <w:rsid w:val="00E212A7"/>
    <w:rsid w:val="00E21597"/>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BDE"/>
    <w:rsid w:val="00E3567B"/>
    <w:rsid w:val="00E3590E"/>
    <w:rsid w:val="00E36B6B"/>
    <w:rsid w:val="00E3772C"/>
    <w:rsid w:val="00E37E51"/>
    <w:rsid w:val="00E4094D"/>
    <w:rsid w:val="00E4132F"/>
    <w:rsid w:val="00E4171A"/>
    <w:rsid w:val="00E41AE0"/>
    <w:rsid w:val="00E41E02"/>
    <w:rsid w:val="00E42E95"/>
    <w:rsid w:val="00E43E59"/>
    <w:rsid w:val="00E44A8A"/>
    <w:rsid w:val="00E453AB"/>
    <w:rsid w:val="00E46CED"/>
    <w:rsid w:val="00E50D32"/>
    <w:rsid w:val="00E51006"/>
    <w:rsid w:val="00E51742"/>
    <w:rsid w:val="00E5295C"/>
    <w:rsid w:val="00E52969"/>
    <w:rsid w:val="00E5357B"/>
    <w:rsid w:val="00E539D3"/>
    <w:rsid w:val="00E53AEF"/>
    <w:rsid w:val="00E53FCD"/>
    <w:rsid w:val="00E54993"/>
    <w:rsid w:val="00E55C1C"/>
    <w:rsid w:val="00E56092"/>
    <w:rsid w:val="00E56674"/>
    <w:rsid w:val="00E578CD"/>
    <w:rsid w:val="00E602AD"/>
    <w:rsid w:val="00E61052"/>
    <w:rsid w:val="00E6213E"/>
    <w:rsid w:val="00E6348C"/>
    <w:rsid w:val="00E63926"/>
    <w:rsid w:val="00E66EA4"/>
    <w:rsid w:val="00E672B0"/>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3059"/>
    <w:rsid w:val="00E83897"/>
    <w:rsid w:val="00E83BF7"/>
    <w:rsid w:val="00E84A3A"/>
    <w:rsid w:val="00E85909"/>
    <w:rsid w:val="00E85FA2"/>
    <w:rsid w:val="00E8650C"/>
    <w:rsid w:val="00E868D8"/>
    <w:rsid w:val="00E86CDC"/>
    <w:rsid w:val="00E8716D"/>
    <w:rsid w:val="00E874C7"/>
    <w:rsid w:val="00E90A02"/>
    <w:rsid w:val="00E90BD0"/>
    <w:rsid w:val="00E924BA"/>
    <w:rsid w:val="00E92751"/>
    <w:rsid w:val="00E92BC6"/>
    <w:rsid w:val="00E9465F"/>
    <w:rsid w:val="00E949DA"/>
    <w:rsid w:val="00E957A3"/>
    <w:rsid w:val="00E95F35"/>
    <w:rsid w:val="00E961A7"/>
    <w:rsid w:val="00E961AE"/>
    <w:rsid w:val="00E96D94"/>
    <w:rsid w:val="00E96EE1"/>
    <w:rsid w:val="00E9719F"/>
    <w:rsid w:val="00E97D4F"/>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ECF"/>
    <w:rsid w:val="00EF7AD5"/>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20B9"/>
    <w:rsid w:val="00F2215F"/>
    <w:rsid w:val="00F222F1"/>
    <w:rsid w:val="00F22581"/>
    <w:rsid w:val="00F22B15"/>
    <w:rsid w:val="00F22F30"/>
    <w:rsid w:val="00F23172"/>
    <w:rsid w:val="00F23814"/>
    <w:rsid w:val="00F23896"/>
    <w:rsid w:val="00F24078"/>
    <w:rsid w:val="00F241F5"/>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08B7"/>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B52"/>
    <w:rsid w:val="00F5341C"/>
    <w:rsid w:val="00F5374C"/>
    <w:rsid w:val="00F54A8B"/>
    <w:rsid w:val="00F54ECE"/>
    <w:rsid w:val="00F5504E"/>
    <w:rsid w:val="00F552E2"/>
    <w:rsid w:val="00F55B94"/>
    <w:rsid w:val="00F55E68"/>
    <w:rsid w:val="00F55F26"/>
    <w:rsid w:val="00F567C0"/>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1390"/>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03AAF-84B4-4070-98D7-A15D3E39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 Jagdeep</cp:lastModifiedBy>
  <cp:revision>18</cp:revision>
  <dcterms:created xsi:type="dcterms:W3CDTF">2022-08-09T23:36:00Z</dcterms:created>
  <dcterms:modified xsi:type="dcterms:W3CDTF">2022-11-04T07:51:00Z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(3)8fUxXZIen7UN2GNY87Ym8JLlCFXDV9Oy9MuyojsVZjXbVn7nqTfdbfc8VRb4QOgU1CtHhV2m
XLGb7QVOdZ0ULErfSdVbjaY7t/RfgiL3nhzav5ZW6Uk2v+gy1+nCMOdtuOZ1yVabyYJKzDip
q2dE5Wf0pDDuVt6KExCGzpPA373S7VEBODUWA8+YBzOj+5EPd0KFzhoc64Ui4pKTWEN3QuxZ
9tnaUAzNXIKYASubiU</vt:lpwstr>
  </property>
  <property fmtid="{D5CDD505-2E9C-101B-9397-08002B2CF9AE}" pid="3" name="_2015_ms_pID_7253431">
    <vt:lpwstr>V1oJD06btpIhXCj3p4Cc9OVKAxykL/7ZfUofo7Z6Z4KIZcynoefzxn
a5aQ8k1zb3WDbt4Gvs9PNDTAguU9IgqxS9lmB18/ur34lWG6i+KxoBY91H9obK8J+93bIqh1
U58WnK+xotp6t6y+VkHf+YESshYbJrtA+ieAFQWy2gWuN2fO8jhGMU92KdHVHt6CXFwwTOXR
usVNyt39ar/yAApQ9ymz4zUP9bpzkVfo1qy6</vt:lpwstr>
  </property>
  <property fmtid="{D5CDD505-2E9C-101B-9397-08002B2CF9AE}" pid="4" name="_2015_ms_pID_7253432">
    <vt:lpwstr>Yw==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